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36" w:rsidRPr="00A15D00" w:rsidRDefault="00256C36" w:rsidP="00256C3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5D00">
        <w:rPr>
          <w:b/>
          <w:sz w:val="28"/>
          <w:szCs w:val="28"/>
        </w:rPr>
        <w:t>Phụ lục</w:t>
      </w:r>
    </w:p>
    <w:p w:rsidR="00256C36" w:rsidRPr="00A15D00" w:rsidRDefault="00256C36" w:rsidP="00256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MỤC </w:t>
      </w:r>
      <w:r w:rsidRPr="00A15D00">
        <w:rPr>
          <w:b/>
          <w:sz w:val="28"/>
          <w:szCs w:val="28"/>
        </w:rPr>
        <w:t>THỦ</w:t>
      </w:r>
      <w:r>
        <w:rPr>
          <w:b/>
          <w:sz w:val="28"/>
          <w:szCs w:val="28"/>
        </w:rPr>
        <w:t xml:space="preserve"> TỤC HÀNH CHÍNH CHUẨN HÓA LĨNH VỰC VĂN HÓA VÀ THỂ THAO THUỘC </w:t>
      </w:r>
      <w:r w:rsidRPr="00A15D00">
        <w:rPr>
          <w:b/>
          <w:sz w:val="28"/>
          <w:szCs w:val="28"/>
        </w:rPr>
        <w:t xml:space="preserve">THẨM QUYỀN GIẢI QUYẾT CỦA </w:t>
      </w:r>
      <w:r>
        <w:rPr>
          <w:b/>
          <w:sz w:val="28"/>
          <w:szCs w:val="28"/>
        </w:rPr>
        <w:t>ỦY BAN NHÂN DÂN CẤP XÃ ÁP DỤNG TRÊN ĐỊA BÀN TỈNH</w:t>
      </w:r>
    </w:p>
    <w:p w:rsidR="00256C36" w:rsidRPr="00F93A53" w:rsidRDefault="00256C36" w:rsidP="00256C36">
      <w:pPr>
        <w:autoSpaceDE w:val="0"/>
        <w:autoSpaceDN w:val="0"/>
        <w:adjustRightInd w:val="0"/>
        <w:jc w:val="center"/>
        <w:rPr>
          <w:i/>
          <w:sz w:val="28"/>
          <w:szCs w:val="28"/>
          <w:lang w:val="vi-VN"/>
        </w:rPr>
      </w:pPr>
      <w:r w:rsidRPr="00A15D00">
        <w:rPr>
          <w:i/>
          <w:sz w:val="26"/>
          <w:szCs w:val="28"/>
          <w:lang w:val="vi-VN"/>
        </w:rPr>
        <w:t xml:space="preserve"> </w:t>
      </w:r>
      <w:r w:rsidRPr="00F93A53">
        <w:rPr>
          <w:i/>
          <w:sz w:val="28"/>
          <w:szCs w:val="28"/>
          <w:lang w:val="vi-VN"/>
        </w:rPr>
        <w:t>(Kèm theo Quyết định số</w:t>
      </w:r>
      <w:r>
        <w:rPr>
          <w:i/>
          <w:sz w:val="28"/>
          <w:szCs w:val="28"/>
        </w:rPr>
        <w:t>:</w:t>
      </w:r>
      <w:r w:rsidR="00523F4B">
        <w:rPr>
          <w:i/>
          <w:sz w:val="28"/>
          <w:szCs w:val="28"/>
        </w:rPr>
        <w:t>2581</w:t>
      </w:r>
      <w:r w:rsidRPr="00F93A53">
        <w:rPr>
          <w:i/>
          <w:sz w:val="28"/>
          <w:szCs w:val="28"/>
          <w:lang w:val="vi-VN"/>
        </w:rPr>
        <w:t xml:space="preserve"> /QĐ-UBND ngày </w:t>
      </w:r>
      <w:r w:rsidR="00523F4B">
        <w:rPr>
          <w:i/>
          <w:sz w:val="28"/>
          <w:szCs w:val="28"/>
        </w:rPr>
        <w:t>05</w:t>
      </w:r>
      <w:r w:rsidRPr="00F93A53">
        <w:rPr>
          <w:i/>
          <w:sz w:val="28"/>
          <w:szCs w:val="28"/>
          <w:lang w:val="vi-VN"/>
        </w:rPr>
        <w:t xml:space="preserve"> tháng</w:t>
      </w:r>
      <w:r w:rsidR="00523F4B">
        <w:rPr>
          <w:i/>
          <w:sz w:val="28"/>
          <w:szCs w:val="28"/>
        </w:rPr>
        <w:t xml:space="preserve"> 11</w:t>
      </w:r>
      <w:r w:rsidRPr="00F93A53">
        <w:rPr>
          <w:i/>
          <w:sz w:val="28"/>
          <w:szCs w:val="28"/>
          <w:lang w:val="vi-VN"/>
        </w:rPr>
        <w:t xml:space="preserve"> năm 2018</w:t>
      </w:r>
    </w:p>
    <w:p w:rsidR="00256C36" w:rsidRPr="00F93A53" w:rsidRDefault="00256C36" w:rsidP="00256C36">
      <w:pPr>
        <w:autoSpaceDE w:val="0"/>
        <w:autoSpaceDN w:val="0"/>
        <w:adjustRightInd w:val="0"/>
        <w:jc w:val="center"/>
        <w:rPr>
          <w:i/>
          <w:sz w:val="28"/>
          <w:szCs w:val="28"/>
          <w:lang w:val="vi-VN"/>
        </w:rPr>
      </w:pPr>
      <w:r w:rsidRPr="00F93A53">
        <w:rPr>
          <w:i/>
          <w:sz w:val="28"/>
          <w:szCs w:val="28"/>
          <w:lang w:val="vi-VN"/>
        </w:rPr>
        <w:t>của Chủ tịch Ủy ban nhân dân tỉnh</w:t>
      </w:r>
      <w:r w:rsidRPr="00523F4B">
        <w:rPr>
          <w:i/>
          <w:sz w:val="28"/>
          <w:szCs w:val="28"/>
          <w:lang w:val="vi-VN"/>
        </w:rPr>
        <w:t xml:space="preserve"> Thừa Thiên Huế</w:t>
      </w:r>
      <w:r w:rsidRPr="00F93A53">
        <w:rPr>
          <w:i/>
          <w:sz w:val="28"/>
          <w:szCs w:val="28"/>
          <w:lang w:val="vi-VN"/>
        </w:rPr>
        <w:t>)</w:t>
      </w:r>
    </w:p>
    <w:p w:rsidR="00256C36" w:rsidRPr="00F93A53" w:rsidRDefault="00523F4B" w:rsidP="00256C36">
      <w:pPr>
        <w:autoSpaceDE w:val="0"/>
        <w:autoSpaceDN w:val="0"/>
        <w:adjustRightInd w:val="0"/>
        <w:spacing w:before="120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27305</wp:posOffset>
                </wp:positionV>
                <wp:extent cx="2547620" cy="0"/>
                <wp:effectExtent l="10795" t="8255" r="1333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7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5pt,2.15pt" to="331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Fn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wnxdM0B9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Cfj/Y62wAAAAcBAAAPAAAAZHJzL2Rvd25yZXYueG1sTI7BTsMwEETvSPyDtUhcKuqQoAAh&#10;mwoBuXGhgLhu4yWJiNdp7LaBr8dwgeNoRm9euZrtoPY8+d4JwvkyAcXSONNLi/DyXJ9dgfKBxNDg&#10;hBE+2cOqOj4qqTDuIE+8X4dWRYj4ghC6EMZCa990bMkv3cgSu3c3WQoxTq02Ex0i3A46TZJcW+ol&#10;PnQ08l3Hzcd6ZxF8/crb+mvRLJK3rHWcbu8fHwjx9GS+vQEVeA5/Y/jRj+pQRaeN24nxakBI8/Qy&#10;ThEuMlCxz/PsGtTmN+uq1P/9q28AAAD//wMAUEsBAi0AFAAGAAgAAAAhALaDOJL+AAAA4QEAABMA&#10;AAAAAAAAAAAAAAAAAAAAAFtDb250ZW50X1R5cGVzXS54bWxQSwECLQAUAAYACAAAACEAOP0h/9YA&#10;AACUAQAACwAAAAAAAAAAAAAAAAAvAQAAX3JlbHMvLnJlbHNQSwECLQAUAAYACAAAACEA3YIBZxEC&#10;AAAoBAAADgAAAAAAAAAAAAAAAAAuAgAAZHJzL2Uyb0RvYy54bWxQSwECLQAUAAYACAAAACEAn4/2&#10;OtsAAAAHAQAADwAAAAAAAAAAAAAAAABrBAAAZHJzL2Rvd25yZXYueG1sUEsFBgAAAAAEAAQA8wAA&#10;AHMFAAAAAA==&#10;"/>
            </w:pict>
          </mc:Fallback>
        </mc:AlternateContent>
      </w:r>
    </w:p>
    <w:p w:rsidR="00256C36" w:rsidRPr="00523F4B" w:rsidRDefault="00256C36" w:rsidP="00256C36">
      <w:pPr>
        <w:jc w:val="center"/>
        <w:rPr>
          <w:b/>
          <w:sz w:val="28"/>
          <w:szCs w:val="28"/>
          <w:lang w:val="vi-VN"/>
        </w:rPr>
      </w:pPr>
      <w:r w:rsidRPr="00A15D00">
        <w:rPr>
          <w:b/>
          <w:bCs/>
          <w:sz w:val="28"/>
          <w:szCs w:val="28"/>
          <w:lang w:val="vi-VN"/>
        </w:rPr>
        <w:t xml:space="preserve">PHẦN I. DANH MỤC </w:t>
      </w:r>
      <w:r w:rsidRPr="00A15D00">
        <w:rPr>
          <w:b/>
          <w:sz w:val="28"/>
          <w:szCs w:val="28"/>
          <w:lang w:val="vi-VN"/>
        </w:rPr>
        <w:t>THỦ TỤC HÀNH CHÍNH</w:t>
      </w:r>
    </w:p>
    <w:p w:rsidR="00256C36" w:rsidRPr="00523F4B" w:rsidRDefault="00256C36" w:rsidP="00256C36">
      <w:pPr>
        <w:tabs>
          <w:tab w:val="left" w:pos="4185"/>
        </w:tabs>
        <w:rPr>
          <w:sz w:val="26"/>
          <w:szCs w:val="28"/>
          <w:lang w:val="vi-VN"/>
        </w:rPr>
      </w:pPr>
    </w:p>
    <w:p w:rsidR="00256C36" w:rsidRPr="00523F4B" w:rsidRDefault="00256C36" w:rsidP="00256C36">
      <w:pPr>
        <w:rPr>
          <w:sz w:val="26"/>
          <w:szCs w:val="28"/>
          <w:lang w:val="vi-VN"/>
        </w:rPr>
      </w:pPr>
    </w:p>
    <w:tbl>
      <w:tblPr>
        <w:tblW w:w="91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95"/>
        <w:gridCol w:w="1560"/>
        <w:gridCol w:w="1559"/>
        <w:gridCol w:w="1134"/>
        <w:gridCol w:w="1984"/>
      </w:tblGrid>
      <w:tr w:rsidR="00256C36" w:rsidRPr="00BD177F" w:rsidTr="00256C36">
        <w:tc>
          <w:tcPr>
            <w:tcW w:w="63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ind w:left="-57" w:right="-57" w:firstLine="57"/>
              <w:jc w:val="center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 xml:space="preserve">Tên thủ tục hành chính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Thời hạn</w:t>
            </w:r>
          </w:p>
          <w:p w:rsidR="00256C36" w:rsidRPr="00AB5D73" w:rsidRDefault="00256C36" w:rsidP="005A69F0">
            <w:pPr>
              <w:spacing w:before="20" w:after="20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 xml:space="preserve"> giải quyết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Địa điểm thực hiện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Phí, lệ phí</w:t>
            </w:r>
          </w:p>
          <w:p w:rsidR="00256C36" w:rsidRPr="00AB5D73" w:rsidRDefault="00256C36" w:rsidP="005A69F0">
            <w:pPr>
              <w:spacing w:before="20" w:after="20"/>
              <w:ind w:left="-113" w:right="-113"/>
              <w:jc w:val="center"/>
              <w:rPr>
                <w:b/>
                <w:i/>
                <w:sz w:val="26"/>
                <w:szCs w:val="26"/>
              </w:rPr>
            </w:pPr>
            <w:r w:rsidRPr="00AB5D73">
              <w:rPr>
                <w:b/>
                <w:i/>
                <w:sz w:val="26"/>
                <w:szCs w:val="26"/>
              </w:rPr>
              <w:t>(đồng)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 xml:space="preserve">Tên VBQPPL </w:t>
            </w:r>
          </w:p>
          <w:p w:rsidR="00256C36" w:rsidRPr="00AB5D73" w:rsidRDefault="00256C36" w:rsidP="005A69F0">
            <w:pPr>
              <w:spacing w:before="20" w:after="20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 xml:space="preserve">quy định TTHC </w:t>
            </w:r>
          </w:p>
        </w:tc>
      </w:tr>
      <w:tr w:rsidR="00256C36" w:rsidRPr="00BD177F" w:rsidTr="00256C36">
        <w:tc>
          <w:tcPr>
            <w:tcW w:w="63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I.</w:t>
            </w:r>
          </w:p>
        </w:tc>
        <w:tc>
          <w:tcPr>
            <w:tcW w:w="8532" w:type="dxa"/>
            <w:gridSpan w:val="5"/>
            <w:shd w:val="clear" w:color="auto" w:fill="auto"/>
          </w:tcPr>
          <w:p w:rsidR="00256C36" w:rsidRPr="00AB5D73" w:rsidRDefault="00256C36" w:rsidP="005A69F0">
            <w:pPr>
              <w:spacing w:before="20" w:after="20"/>
              <w:rPr>
                <w:sz w:val="26"/>
                <w:szCs w:val="26"/>
              </w:rPr>
            </w:pPr>
            <w:r w:rsidRPr="00AB5D73">
              <w:rPr>
                <w:b/>
                <w:spacing w:val="-10"/>
                <w:sz w:val="26"/>
                <w:szCs w:val="26"/>
              </w:rPr>
              <w:t>Lĩnh vực văn hóa cơ sở</w:t>
            </w:r>
            <w:r w:rsidRPr="00AB5D73">
              <w:rPr>
                <w:b/>
                <w:spacing w:val="-10"/>
                <w:sz w:val="26"/>
                <w:szCs w:val="26"/>
                <w:lang w:val="vi-VN"/>
              </w:rPr>
              <w:t xml:space="preserve"> </w:t>
            </w:r>
          </w:p>
        </w:tc>
      </w:tr>
      <w:tr w:rsidR="00256C36" w:rsidRPr="00BD177F" w:rsidTr="00256C36">
        <w:tc>
          <w:tcPr>
            <w:tcW w:w="63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outlineLvl w:val="0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ind w:firstLine="31"/>
              <w:rPr>
                <w:sz w:val="26"/>
                <w:szCs w:val="26"/>
                <w:lang w:val="nb-NO"/>
              </w:rPr>
            </w:pPr>
            <w:r w:rsidRPr="00523F4B">
              <w:rPr>
                <w:color w:val="000000"/>
                <w:sz w:val="26"/>
                <w:szCs w:val="26"/>
              </w:rPr>
              <w:t>Xét tặng danh hiệu Gia đình văn hóa hàng năm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rStyle w:val="normal-h1"/>
                <w:sz w:val="26"/>
                <w:szCs w:val="26"/>
                <w:lang w:val="vi-VN"/>
              </w:rPr>
            </w:pPr>
            <w:r w:rsidRPr="00AB5D73">
              <w:rPr>
                <w:color w:val="000000"/>
                <w:sz w:val="26"/>
                <w:szCs w:val="26"/>
                <w:lang w:val="vi-VN"/>
              </w:rPr>
              <w:t>05 ngày làm việc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6C36" w:rsidRPr="00523F4B" w:rsidRDefault="00256C36" w:rsidP="005A69F0">
            <w:pPr>
              <w:spacing w:before="20" w:after="20"/>
              <w:jc w:val="center"/>
              <w:rPr>
                <w:sz w:val="26"/>
                <w:szCs w:val="26"/>
                <w:lang w:val="vi-VN"/>
              </w:rPr>
            </w:pPr>
            <w:r w:rsidRPr="00523F4B">
              <w:rPr>
                <w:sz w:val="26"/>
                <w:szCs w:val="26"/>
                <w:lang w:val="vi-VN"/>
              </w:rPr>
              <w:t>Bộ phận Tiếp nhận và trả kết quả UBND cấp xã</w:t>
            </w:r>
          </w:p>
        </w:tc>
        <w:tc>
          <w:tcPr>
            <w:tcW w:w="1134" w:type="dxa"/>
            <w:shd w:val="clear" w:color="auto" w:fill="auto"/>
          </w:tcPr>
          <w:p w:rsidR="00256C36" w:rsidRPr="00AB5D73" w:rsidRDefault="00256C36" w:rsidP="005A69F0">
            <w:pPr>
              <w:jc w:val="center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</w:rPr>
              <w:t>Không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rPr>
                <w:spacing w:val="4"/>
                <w:sz w:val="26"/>
                <w:szCs w:val="26"/>
                <w:lang w:val="nb-NO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r w:rsidRPr="00AB5D73">
              <w:rPr>
                <w:bCs/>
                <w:color w:val="000000"/>
                <w:sz w:val="26"/>
                <w:szCs w:val="26"/>
              </w:rPr>
              <w:t xml:space="preserve">Nghị định số </w:t>
            </w:r>
            <w:r w:rsidRPr="00AB5D73">
              <w:rPr>
                <w:color w:val="000000"/>
                <w:sz w:val="26"/>
                <w:szCs w:val="26"/>
                <w:lang w:val="nl-NL"/>
              </w:rPr>
              <w:t>122/2018/NĐ-CP ngày 17</w:t>
            </w:r>
            <w:r>
              <w:rPr>
                <w:color w:val="000000"/>
                <w:sz w:val="26"/>
                <w:szCs w:val="26"/>
                <w:lang w:val="nl-NL"/>
              </w:rPr>
              <w:t>/9/</w:t>
            </w:r>
            <w:r w:rsidRPr="00AB5D73">
              <w:rPr>
                <w:color w:val="000000"/>
                <w:sz w:val="26"/>
                <w:szCs w:val="26"/>
                <w:lang w:val="nl-NL"/>
              </w:rPr>
              <w:t>2018</w:t>
            </w:r>
            <w:r>
              <w:rPr>
                <w:color w:val="000000"/>
                <w:sz w:val="26"/>
                <w:szCs w:val="26"/>
                <w:lang w:val="nl-NL"/>
              </w:rPr>
              <w:t>.</w:t>
            </w:r>
          </w:p>
        </w:tc>
      </w:tr>
      <w:tr w:rsidR="00256C36" w:rsidRPr="00BD177F" w:rsidTr="00256C36">
        <w:tc>
          <w:tcPr>
            <w:tcW w:w="63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outlineLvl w:val="0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ind w:firstLine="31"/>
              <w:rPr>
                <w:sz w:val="26"/>
                <w:szCs w:val="26"/>
                <w:lang w:val="nb-NO"/>
              </w:rPr>
            </w:pPr>
            <w:r w:rsidRPr="00AB5D73">
              <w:rPr>
                <w:color w:val="000000"/>
                <w:sz w:val="26"/>
                <w:szCs w:val="26"/>
              </w:rPr>
              <w:t xml:space="preserve">Xét </w:t>
            </w:r>
            <w:r w:rsidRPr="00AB5D73">
              <w:rPr>
                <w:bCs/>
                <w:color w:val="000000"/>
                <w:sz w:val="26"/>
                <w:szCs w:val="26"/>
                <w:lang w:val="vi-VN"/>
              </w:rPr>
              <w:t>tặng Giấy khen Gia đình văn hóa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rStyle w:val="normal-h1"/>
                <w:sz w:val="26"/>
                <w:szCs w:val="26"/>
                <w:lang w:val="vi-VN"/>
              </w:rPr>
            </w:pPr>
            <w:r w:rsidRPr="00AB5D73">
              <w:rPr>
                <w:color w:val="000000"/>
                <w:sz w:val="26"/>
                <w:szCs w:val="26"/>
                <w:lang w:val="vi-VN"/>
              </w:rPr>
              <w:t>05 ngày làm việc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56C36" w:rsidRPr="00AB5D73" w:rsidRDefault="00256C36" w:rsidP="005A69F0">
            <w:pPr>
              <w:jc w:val="center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</w:rPr>
              <w:t>Không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rPr>
                <w:spacing w:val="4"/>
                <w:sz w:val="26"/>
                <w:szCs w:val="26"/>
                <w:lang w:val="nb-NO"/>
              </w:rPr>
            </w:pPr>
          </w:p>
        </w:tc>
      </w:tr>
      <w:tr w:rsidR="00256C36" w:rsidRPr="00BD177F" w:rsidTr="00256C36">
        <w:tc>
          <w:tcPr>
            <w:tcW w:w="63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outlineLvl w:val="0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ind w:firstLine="31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</w:rPr>
              <w:t>Thông báo tổ chức lễ hội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rStyle w:val="normal-h1"/>
                <w:sz w:val="26"/>
                <w:szCs w:val="26"/>
              </w:rPr>
            </w:pPr>
            <w:r w:rsidRPr="00AB5D73">
              <w:rPr>
                <w:rStyle w:val="normal-h1"/>
                <w:sz w:val="26"/>
                <w:szCs w:val="26"/>
              </w:rPr>
              <w:t>15</w:t>
            </w:r>
            <w:r w:rsidRPr="00AB5D73">
              <w:rPr>
                <w:rStyle w:val="normal-h1"/>
                <w:sz w:val="26"/>
                <w:szCs w:val="26"/>
                <w:lang w:val="vi-VN"/>
              </w:rPr>
              <w:t xml:space="preserve"> ngày</w:t>
            </w:r>
          </w:p>
          <w:p w:rsidR="00256C36" w:rsidRPr="00AB5D73" w:rsidRDefault="00256C36" w:rsidP="005A69F0">
            <w:pPr>
              <w:spacing w:before="20" w:after="20"/>
              <w:jc w:val="center"/>
              <w:rPr>
                <w:rStyle w:val="normal-h1"/>
                <w:sz w:val="26"/>
                <w:szCs w:val="26"/>
                <w:lang w:val="vi-VN"/>
              </w:rPr>
            </w:pPr>
            <w:r w:rsidRPr="00AB5D73">
              <w:rPr>
                <w:rStyle w:val="normal-h1"/>
                <w:sz w:val="26"/>
                <w:szCs w:val="26"/>
                <w:lang w:val="vi-VN"/>
              </w:rPr>
              <w:t>làm việc</w:t>
            </w:r>
          </w:p>
        </w:tc>
        <w:tc>
          <w:tcPr>
            <w:tcW w:w="1559" w:type="dxa"/>
            <w:vMerge/>
            <w:shd w:val="clear" w:color="auto" w:fill="auto"/>
          </w:tcPr>
          <w:p w:rsidR="00256C36" w:rsidRPr="00AB5D73" w:rsidRDefault="00256C36" w:rsidP="005A69F0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</w:rPr>
              <w:t>Không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 xml:space="preserve">- </w:t>
            </w:r>
            <w:r w:rsidRPr="00AB5D73">
              <w:rPr>
                <w:spacing w:val="4"/>
                <w:sz w:val="26"/>
                <w:szCs w:val="26"/>
              </w:rPr>
              <w:t>Nghị định 110/2018/NĐ-CP ngày 29/8/2018</w:t>
            </w:r>
            <w:r>
              <w:rPr>
                <w:spacing w:val="4"/>
                <w:sz w:val="26"/>
                <w:szCs w:val="26"/>
              </w:rPr>
              <w:t>.</w:t>
            </w:r>
          </w:p>
        </w:tc>
      </w:tr>
      <w:tr w:rsidR="00256C36" w:rsidRPr="00BD177F" w:rsidTr="00256C36">
        <w:tc>
          <w:tcPr>
            <w:tcW w:w="63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outlineLvl w:val="0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II.</w:t>
            </w:r>
          </w:p>
        </w:tc>
        <w:tc>
          <w:tcPr>
            <w:tcW w:w="8532" w:type="dxa"/>
            <w:gridSpan w:val="5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rPr>
                <w:spacing w:val="4"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Lĩnh vực Thư viện</w:t>
            </w:r>
          </w:p>
        </w:tc>
      </w:tr>
      <w:tr w:rsidR="00256C36" w:rsidRPr="00523F4B" w:rsidTr="00256C36">
        <w:tc>
          <w:tcPr>
            <w:tcW w:w="63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ind w:firstLine="31"/>
              <w:jc w:val="center"/>
              <w:rPr>
                <w:b/>
                <w:spacing w:val="-8"/>
                <w:sz w:val="26"/>
                <w:szCs w:val="26"/>
              </w:rPr>
            </w:pPr>
            <w:r w:rsidRPr="00AB5D73">
              <w:rPr>
                <w:b/>
                <w:spacing w:val="-8"/>
                <w:sz w:val="26"/>
                <w:szCs w:val="26"/>
              </w:rPr>
              <w:t>4.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ind w:firstLine="31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  <w:lang w:val="nb-NO"/>
              </w:rPr>
              <w:t>Đăng ký hoạt động thư viện tư nhân</w:t>
            </w:r>
            <w:r w:rsidRPr="00AB5D73">
              <w:rPr>
                <w:rStyle w:val="normal-h1"/>
                <w:spacing w:val="-4"/>
                <w:sz w:val="26"/>
                <w:szCs w:val="26"/>
                <w:lang w:val="nb-NO"/>
              </w:rPr>
              <w:t xml:space="preserve"> </w:t>
            </w:r>
            <w:r w:rsidRPr="00AB5D73">
              <w:rPr>
                <w:sz w:val="26"/>
                <w:szCs w:val="26"/>
                <w:lang w:val="nb-NO"/>
              </w:rPr>
              <w:t>có vốn sách ban đầu từ 500 bản đến dưới 1.000 bản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rStyle w:val="normal-h1"/>
                <w:sz w:val="26"/>
                <w:szCs w:val="26"/>
              </w:rPr>
            </w:pPr>
            <w:r w:rsidRPr="00AB5D73">
              <w:rPr>
                <w:rStyle w:val="normal-h1"/>
                <w:sz w:val="26"/>
                <w:szCs w:val="26"/>
              </w:rPr>
              <w:t xml:space="preserve">03 </w:t>
            </w:r>
            <w:r w:rsidRPr="00AB5D73">
              <w:rPr>
                <w:rStyle w:val="normal-h1"/>
                <w:sz w:val="26"/>
                <w:szCs w:val="26"/>
                <w:lang w:val="vi-VN"/>
              </w:rPr>
              <w:t>ngày</w:t>
            </w:r>
          </w:p>
          <w:p w:rsidR="00256C36" w:rsidRPr="00AB5D73" w:rsidRDefault="00256C36" w:rsidP="005A69F0">
            <w:pPr>
              <w:spacing w:before="20" w:after="20"/>
              <w:jc w:val="center"/>
              <w:rPr>
                <w:rStyle w:val="normal-h1"/>
                <w:sz w:val="26"/>
                <w:szCs w:val="26"/>
              </w:rPr>
            </w:pPr>
            <w:r w:rsidRPr="00AB5D73">
              <w:rPr>
                <w:rStyle w:val="normal-h1"/>
                <w:sz w:val="26"/>
                <w:szCs w:val="26"/>
                <w:lang w:val="vi-VN"/>
              </w:rPr>
              <w:t xml:space="preserve"> làm việc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</w:rPr>
              <w:t>Bộ phận Tiếp nhận và trả kết quả UBND cấp xã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</w:rPr>
              <w:t>Không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rPr>
                <w:sz w:val="26"/>
                <w:szCs w:val="26"/>
                <w:lang w:val="nb-NO"/>
              </w:rPr>
            </w:pPr>
            <w:r w:rsidRPr="00AB5D73">
              <w:rPr>
                <w:sz w:val="26"/>
                <w:szCs w:val="26"/>
                <w:lang w:val="nb-NO"/>
              </w:rPr>
              <w:t xml:space="preserve">- Nghị định số 72/2002/NĐ-CP ngày </w:t>
            </w:r>
            <w:r>
              <w:rPr>
                <w:sz w:val="26"/>
                <w:szCs w:val="26"/>
                <w:lang w:val="nb-NO"/>
              </w:rPr>
              <w:t>0</w:t>
            </w:r>
            <w:r w:rsidRPr="00AB5D73">
              <w:rPr>
                <w:sz w:val="26"/>
                <w:szCs w:val="26"/>
                <w:lang w:val="nb-NO"/>
              </w:rPr>
              <w:t>6/8/2002</w:t>
            </w:r>
            <w:r>
              <w:rPr>
                <w:sz w:val="26"/>
                <w:szCs w:val="26"/>
                <w:lang w:val="nb-NO"/>
              </w:rPr>
              <w:t>;</w:t>
            </w:r>
          </w:p>
          <w:p w:rsidR="00256C36" w:rsidRPr="00523F4B" w:rsidRDefault="00256C36" w:rsidP="005A69F0">
            <w:pPr>
              <w:spacing w:before="20" w:after="20"/>
              <w:rPr>
                <w:spacing w:val="4"/>
                <w:sz w:val="26"/>
                <w:szCs w:val="26"/>
                <w:lang w:val="nb-NO"/>
              </w:rPr>
            </w:pPr>
            <w:r w:rsidRPr="00AB5D73">
              <w:rPr>
                <w:sz w:val="26"/>
                <w:szCs w:val="26"/>
                <w:lang w:val="nb-NO"/>
              </w:rPr>
              <w:t xml:space="preserve">- Nghị định số 02/2009/NĐ-CP ngày </w:t>
            </w:r>
            <w:r>
              <w:rPr>
                <w:sz w:val="26"/>
                <w:szCs w:val="26"/>
                <w:lang w:val="nb-NO"/>
              </w:rPr>
              <w:t>0</w:t>
            </w:r>
            <w:r w:rsidRPr="00AB5D73">
              <w:rPr>
                <w:sz w:val="26"/>
                <w:szCs w:val="26"/>
                <w:lang w:val="nb-NO"/>
              </w:rPr>
              <w:t>6/01/2009</w:t>
            </w:r>
            <w:r>
              <w:rPr>
                <w:sz w:val="26"/>
                <w:szCs w:val="26"/>
                <w:lang w:val="nb-NO"/>
              </w:rPr>
              <w:t>.</w:t>
            </w:r>
          </w:p>
        </w:tc>
      </w:tr>
      <w:tr w:rsidR="00256C36" w:rsidRPr="00BD177F" w:rsidTr="00256C36">
        <w:tc>
          <w:tcPr>
            <w:tcW w:w="63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outlineLvl w:val="0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III.</w:t>
            </w:r>
          </w:p>
        </w:tc>
        <w:tc>
          <w:tcPr>
            <w:tcW w:w="8532" w:type="dxa"/>
            <w:gridSpan w:val="5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rPr>
                <w:rFonts w:ascii=".VnTime" w:hAnsi=".VnTime"/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 xml:space="preserve">Lĩnh vực thể thao </w:t>
            </w:r>
          </w:p>
        </w:tc>
      </w:tr>
      <w:tr w:rsidR="00256C36" w:rsidRPr="00BD177F" w:rsidTr="00256C36">
        <w:tc>
          <w:tcPr>
            <w:tcW w:w="63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outlineLvl w:val="0"/>
              <w:rPr>
                <w:b/>
                <w:sz w:val="26"/>
                <w:szCs w:val="26"/>
              </w:rPr>
            </w:pPr>
            <w:r w:rsidRPr="00AB5D73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</w:rPr>
              <w:t>Công nhận câu lạc bộ thể thao cơ sở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rStyle w:val="normal-h1"/>
                <w:sz w:val="26"/>
                <w:szCs w:val="26"/>
              </w:rPr>
            </w:pPr>
            <w:r w:rsidRPr="00AB5D73">
              <w:rPr>
                <w:rStyle w:val="normal-h1"/>
                <w:sz w:val="26"/>
                <w:szCs w:val="26"/>
                <w:lang w:val="vi-VN"/>
              </w:rPr>
              <w:t>0</w:t>
            </w:r>
            <w:r w:rsidRPr="00AB5D73">
              <w:rPr>
                <w:rStyle w:val="normal-h1"/>
                <w:sz w:val="26"/>
                <w:szCs w:val="26"/>
              </w:rPr>
              <w:t>7</w:t>
            </w:r>
            <w:r w:rsidRPr="00AB5D73">
              <w:rPr>
                <w:rStyle w:val="normal-h1"/>
                <w:sz w:val="26"/>
                <w:szCs w:val="26"/>
                <w:lang w:val="vi-VN"/>
              </w:rPr>
              <w:t xml:space="preserve"> ngày</w:t>
            </w:r>
          </w:p>
          <w:p w:rsidR="00256C36" w:rsidRPr="00AB5D73" w:rsidRDefault="00256C36" w:rsidP="005A69F0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AB5D73">
              <w:rPr>
                <w:rStyle w:val="normal-h1"/>
                <w:sz w:val="26"/>
                <w:szCs w:val="26"/>
                <w:lang w:val="vi-VN"/>
              </w:rPr>
              <w:t>làm việc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</w:rPr>
              <w:t>Bộ phận Tiếp nhận và trả kết quả UBND cấp xã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</w:rPr>
              <w:t>Không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C36" w:rsidRPr="00AB5D73" w:rsidRDefault="00256C36" w:rsidP="005A69F0">
            <w:pPr>
              <w:spacing w:before="20" w:after="20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</w:rPr>
              <w:t>- Nghị định số 112/2007/NĐ-CP ngày 26/6/2007</w:t>
            </w:r>
            <w:r>
              <w:rPr>
                <w:sz w:val="26"/>
                <w:szCs w:val="26"/>
              </w:rPr>
              <w:t>;</w:t>
            </w:r>
          </w:p>
          <w:p w:rsidR="00256C36" w:rsidRPr="00AB5D73" w:rsidRDefault="00256C36" w:rsidP="005A69F0">
            <w:pPr>
              <w:spacing w:before="20" w:after="20"/>
              <w:rPr>
                <w:sz w:val="26"/>
                <w:szCs w:val="26"/>
              </w:rPr>
            </w:pPr>
            <w:r w:rsidRPr="00AB5D73">
              <w:rPr>
                <w:sz w:val="26"/>
                <w:szCs w:val="26"/>
              </w:rPr>
              <w:t>- Thông tư số 18/2011/TT-BVHTTDL ngày 02/12/2011 của Bộ Văn hóa, Thể thao và Du lịch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593441" w:rsidRDefault="00593441"/>
    <w:sectPr w:rsidR="00593441" w:rsidSect="0035049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36"/>
    <w:rsid w:val="00256C36"/>
    <w:rsid w:val="00350495"/>
    <w:rsid w:val="00523F4B"/>
    <w:rsid w:val="00593441"/>
    <w:rsid w:val="006F2D98"/>
    <w:rsid w:val="00A4018E"/>
    <w:rsid w:val="00AA3D13"/>
    <w:rsid w:val="00E7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36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256C36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36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256C3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Hong</dc:creator>
  <cp:lastModifiedBy>HCH11167</cp:lastModifiedBy>
  <cp:revision>2</cp:revision>
  <cp:lastPrinted>2018-11-02T06:49:00Z</cp:lastPrinted>
  <dcterms:created xsi:type="dcterms:W3CDTF">2019-07-01T06:45:00Z</dcterms:created>
  <dcterms:modified xsi:type="dcterms:W3CDTF">2019-07-01T06:45:00Z</dcterms:modified>
</cp:coreProperties>
</file>