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3000"/>
        <w:gridCol w:w="6699"/>
      </w:tblGrid>
      <w:tr w:rsidR="001F4197" w:rsidRPr="001F4197" w:rsidTr="001F4197">
        <w:tc>
          <w:tcPr>
            <w:tcW w:w="3000" w:type="dxa"/>
            <w:shd w:val="clear" w:color="auto" w:fill="auto"/>
            <w:tcMar>
              <w:top w:w="30" w:type="dxa"/>
              <w:left w:w="30" w:type="dxa"/>
              <w:bottom w:w="30" w:type="dxa"/>
              <w:right w:w="30" w:type="dxa"/>
            </w:tcMar>
            <w:hideMark/>
          </w:tcPr>
          <w:p w:rsidR="001F4197" w:rsidRPr="001F4197" w:rsidRDefault="001F4197" w:rsidP="001F4197">
            <w:pPr>
              <w:spacing w:after="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b/>
                <w:bCs/>
                <w:sz w:val="24"/>
                <w:szCs w:val="24"/>
              </w:rPr>
              <w:t>CHÍNH PHỦ</w:t>
            </w:r>
            <w:r w:rsidRPr="001F4197">
              <w:rPr>
                <w:rFonts w:ascii="Times New Roman" w:eastAsia="Times New Roman" w:hAnsi="Times New Roman" w:cs="Times New Roman"/>
                <w:b/>
                <w:bCs/>
                <w:sz w:val="24"/>
                <w:szCs w:val="24"/>
              </w:rPr>
              <w:br/>
            </w:r>
            <w:r w:rsidRPr="001F4197">
              <w:rPr>
                <w:rFonts w:ascii="Times New Roman" w:eastAsia="Times New Roman" w:hAnsi="Times New Roman" w:cs="Times New Roman"/>
                <w:sz w:val="24"/>
                <w:szCs w:val="24"/>
              </w:rPr>
              <w:t>******</w:t>
            </w:r>
          </w:p>
        </w:tc>
        <w:tc>
          <w:tcPr>
            <w:tcW w:w="0" w:type="auto"/>
            <w:shd w:val="clear" w:color="auto" w:fill="auto"/>
            <w:tcMar>
              <w:top w:w="30" w:type="dxa"/>
              <w:left w:w="30" w:type="dxa"/>
              <w:bottom w:w="30" w:type="dxa"/>
              <w:right w:w="30" w:type="dxa"/>
            </w:tcMar>
            <w:hideMark/>
          </w:tcPr>
          <w:p w:rsidR="001F4197" w:rsidRPr="001F4197" w:rsidRDefault="001F4197" w:rsidP="001F4197">
            <w:pPr>
              <w:spacing w:after="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b/>
                <w:bCs/>
                <w:sz w:val="24"/>
                <w:szCs w:val="24"/>
              </w:rPr>
              <w:t>CỘNG HOÀ XÃ HỘI CHỦ NGHĨA VIỆT NAM</w:t>
            </w:r>
            <w:r w:rsidRPr="001F4197">
              <w:rPr>
                <w:rFonts w:ascii="Times New Roman" w:eastAsia="Times New Roman" w:hAnsi="Times New Roman" w:cs="Times New Roman"/>
                <w:b/>
                <w:bCs/>
                <w:sz w:val="24"/>
                <w:szCs w:val="24"/>
              </w:rPr>
              <w:br/>
              <w:t>Độc lập - Tự do - Hạnh phúc</w:t>
            </w:r>
            <w:r w:rsidRPr="001F4197">
              <w:rPr>
                <w:rFonts w:ascii="Times New Roman" w:eastAsia="Times New Roman" w:hAnsi="Times New Roman" w:cs="Times New Roman"/>
                <w:b/>
                <w:bCs/>
                <w:sz w:val="24"/>
                <w:szCs w:val="24"/>
              </w:rPr>
              <w:br/>
            </w:r>
            <w:r w:rsidRPr="001F4197">
              <w:rPr>
                <w:rFonts w:ascii="Times New Roman" w:eastAsia="Times New Roman" w:hAnsi="Times New Roman" w:cs="Times New Roman"/>
                <w:sz w:val="24"/>
                <w:szCs w:val="24"/>
              </w:rPr>
              <w:t>********</w:t>
            </w:r>
          </w:p>
        </w:tc>
      </w:tr>
      <w:tr w:rsidR="001F4197" w:rsidRPr="001F4197" w:rsidTr="001F4197">
        <w:tc>
          <w:tcPr>
            <w:tcW w:w="3000" w:type="dxa"/>
            <w:shd w:val="clear" w:color="auto" w:fill="auto"/>
            <w:tcMar>
              <w:top w:w="30" w:type="dxa"/>
              <w:left w:w="30" w:type="dxa"/>
              <w:bottom w:w="30" w:type="dxa"/>
              <w:right w:w="30" w:type="dxa"/>
            </w:tcMar>
            <w:hideMark/>
          </w:tcPr>
          <w:p w:rsidR="001F4197" w:rsidRPr="001F4197" w:rsidRDefault="001F4197" w:rsidP="001F4197">
            <w:pPr>
              <w:spacing w:after="15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t>Số: 127/2007/NĐ-CP</w:t>
            </w:r>
          </w:p>
        </w:tc>
        <w:tc>
          <w:tcPr>
            <w:tcW w:w="0" w:type="auto"/>
            <w:shd w:val="clear" w:color="auto" w:fill="auto"/>
            <w:tcMar>
              <w:top w:w="30" w:type="dxa"/>
              <w:left w:w="30" w:type="dxa"/>
              <w:bottom w:w="30" w:type="dxa"/>
              <w:right w:w="30" w:type="dxa"/>
            </w:tcMar>
            <w:hideMark/>
          </w:tcPr>
          <w:p w:rsidR="001F4197" w:rsidRPr="001F4197" w:rsidRDefault="001F4197" w:rsidP="001F4197">
            <w:pPr>
              <w:spacing w:after="0" w:line="240" w:lineRule="auto"/>
              <w:jc w:val="right"/>
              <w:rPr>
                <w:rFonts w:ascii="Times New Roman" w:eastAsia="Times New Roman" w:hAnsi="Times New Roman" w:cs="Times New Roman"/>
                <w:sz w:val="24"/>
                <w:szCs w:val="24"/>
              </w:rPr>
            </w:pPr>
            <w:r w:rsidRPr="001F4197">
              <w:rPr>
                <w:rFonts w:ascii="Times New Roman" w:eastAsia="Times New Roman" w:hAnsi="Times New Roman" w:cs="Times New Roman"/>
                <w:i/>
                <w:iCs/>
                <w:sz w:val="24"/>
                <w:szCs w:val="24"/>
              </w:rPr>
              <w:t>Hà Nội, ngày 01 tháng 08 năm 2007 </w:t>
            </w:r>
          </w:p>
        </w:tc>
      </w:tr>
    </w:tbl>
    <w:p w:rsidR="001F4197" w:rsidRPr="001F4197" w:rsidRDefault="001F4197" w:rsidP="001F4197">
      <w:pPr>
        <w:shd w:val="clear" w:color="auto" w:fill="FFFFFF"/>
        <w:spacing w:after="150" w:line="240" w:lineRule="auto"/>
        <w:jc w:val="center"/>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w:t>
      </w:r>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0" w:name="loai_1"/>
      <w:r w:rsidRPr="001F4197">
        <w:rPr>
          <w:rFonts w:ascii="Helvetica" w:eastAsia="Times New Roman" w:hAnsi="Helvetica" w:cs="Times New Roman"/>
          <w:b/>
          <w:bCs/>
          <w:color w:val="333333"/>
          <w:sz w:val="24"/>
          <w:szCs w:val="24"/>
        </w:rPr>
        <w:t>NGHỊ ĐỊNH</w:t>
      </w:r>
      <w:bookmarkEnd w:id="0"/>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1" w:name="loai_1_name"/>
      <w:r w:rsidRPr="001F4197">
        <w:rPr>
          <w:rFonts w:ascii="Helvetica" w:eastAsia="Times New Roman" w:hAnsi="Helvetica" w:cs="Times New Roman"/>
          <w:color w:val="333333"/>
          <w:sz w:val="21"/>
          <w:szCs w:val="21"/>
        </w:rPr>
        <w:t>QUY ĐỊNH CHI TIẾT THI HÀNH MỘT SỐ ĐIỀU CỦA LUẬT TIÊU CHUẨN VÀ QUY CHUẨN KỸ THUẬT</w:t>
      </w:r>
      <w:bookmarkEnd w:id="1"/>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r w:rsidRPr="001F4197">
        <w:rPr>
          <w:rFonts w:ascii="Helvetica" w:eastAsia="Times New Roman" w:hAnsi="Helvetica" w:cs="Times New Roman"/>
          <w:b/>
          <w:bCs/>
          <w:color w:val="333333"/>
          <w:sz w:val="24"/>
          <w:szCs w:val="24"/>
        </w:rPr>
        <w:t>CHÍNH PHỦ</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r w:rsidRPr="001F4197">
        <w:rPr>
          <w:rFonts w:ascii="Helvetica" w:eastAsia="Times New Roman" w:hAnsi="Helvetica" w:cs="Times New Roman"/>
          <w:i/>
          <w:iCs/>
          <w:color w:val="333333"/>
          <w:sz w:val="21"/>
          <w:szCs w:val="21"/>
        </w:rPr>
        <w:t>Căn cứ Luật Tổ chức Chính phủ ngày 25 tháng 12 năm 2001;</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r w:rsidRPr="001F4197">
        <w:rPr>
          <w:rFonts w:ascii="Helvetica" w:eastAsia="Times New Roman" w:hAnsi="Helvetica" w:cs="Times New Roman"/>
          <w:i/>
          <w:iCs/>
          <w:color w:val="333333"/>
          <w:sz w:val="21"/>
          <w:szCs w:val="21"/>
        </w:rPr>
        <w:t>Căn cứ Luật Tiêu chuẩn và Quy chuẩn kỹ thuật ngày 29 tháng 6 năm 2006;</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r w:rsidRPr="001F4197">
        <w:rPr>
          <w:rFonts w:ascii="Helvetica" w:eastAsia="Times New Roman" w:hAnsi="Helvetica" w:cs="Times New Roman"/>
          <w:i/>
          <w:iCs/>
          <w:color w:val="333333"/>
          <w:sz w:val="21"/>
          <w:szCs w:val="21"/>
        </w:rPr>
        <w:t>Xét đề nghị của Bộ trưởng Bộ Khoa học và Công nghệ,</w:t>
      </w:r>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r w:rsidRPr="001F4197">
        <w:rPr>
          <w:rFonts w:ascii="Helvetica" w:eastAsia="Times New Roman" w:hAnsi="Helvetica" w:cs="Times New Roman"/>
          <w:b/>
          <w:bCs/>
          <w:color w:val="333333"/>
          <w:sz w:val="24"/>
          <w:szCs w:val="24"/>
        </w:rPr>
        <w:t>NGHỊ ĐỊNH :</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 w:name="chuong_1"/>
      <w:r w:rsidRPr="001F4197">
        <w:rPr>
          <w:rFonts w:ascii="Helvetica" w:eastAsia="Times New Roman" w:hAnsi="Helvetica" w:cs="Times New Roman"/>
          <w:b/>
          <w:bCs/>
          <w:color w:val="333333"/>
          <w:sz w:val="21"/>
          <w:szCs w:val="21"/>
          <w:shd w:val="clear" w:color="auto" w:fill="FFFF00"/>
        </w:rPr>
        <w:t>Chương 1:</w:t>
      </w:r>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r w:rsidRPr="001F4197">
        <w:rPr>
          <w:rFonts w:ascii="Helvetica" w:eastAsia="Times New Roman" w:hAnsi="Helvetica" w:cs="Times New Roman"/>
          <w:b/>
          <w:bCs/>
          <w:color w:val="333333"/>
          <w:sz w:val="21"/>
          <w:szCs w:val="21"/>
          <w:shd w:val="clear" w:color="auto" w:fill="FFFF00"/>
        </w:rPr>
        <w:t>NHỮNG QUY ĐỊNH CHUNG</w:t>
      </w:r>
      <w:bookmarkEnd w:id="2"/>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3" w:name="dieu_1"/>
      <w:r w:rsidRPr="001F4197">
        <w:rPr>
          <w:rFonts w:ascii="Helvetica" w:eastAsia="Times New Roman" w:hAnsi="Helvetica" w:cs="Times New Roman"/>
          <w:b/>
          <w:bCs/>
          <w:color w:val="333333"/>
          <w:sz w:val="21"/>
          <w:szCs w:val="21"/>
        </w:rPr>
        <w:t>Điều 1. Phạm vi điều chỉnh</w:t>
      </w:r>
      <w:bookmarkEnd w:id="3"/>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Nghị định này quy định chi tiết thi hành một số điều của Luật Tiêu chuẩn và Quy chuẩn kỹ thuật về xây dựng, công bố tiêu chuẩn; xây dựng, ban hành quy chuẩn kỹ thuật; đánh giá sự phù hợp với tiêu chuẩn, quy chuẩn kỹ thuật và trách nhiệm của các cơ quan, tổ chức, cá nhân hoạt động trong lĩnh vực tiêu chuẩn và lĩnh vực quy chuẩn kỹ thuật.</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4" w:name="dieu_2"/>
      <w:r w:rsidRPr="001F4197">
        <w:rPr>
          <w:rFonts w:ascii="Helvetica" w:eastAsia="Times New Roman" w:hAnsi="Helvetica" w:cs="Times New Roman"/>
          <w:b/>
          <w:bCs/>
          <w:color w:val="333333"/>
          <w:sz w:val="21"/>
          <w:szCs w:val="21"/>
        </w:rPr>
        <w:t> Điều 2. Đối tượng của hoạt động trong lĩnh vực tiêu chuẩn và đối tượng của hoạt động trong lĩnh vực quy chuẩn kỹ thuật</w:t>
      </w:r>
      <w:bookmarkEnd w:id="4"/>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Đối tượng của hoạt động trong lĩnh vực tiêu chuẩn và đối tượng của hoạt động trong lĩnh vực quy chuẩn kỹ thuật bao gồm:</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1. Sản phẩm, hàng hoá được sản xuất để sử dụng trong nước; sản phẩm, hàng hoá xuất khẩu; sản phẩm, hàng hoá nhập khẩu;</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2. Dịch vụ liên quan đến các hoạt động sau: thương mại; bưu chính, viễn thông; công nghệ thông tin; xây dựng; giáo dục, đào tạo; lao động, dạy nghề; tài chính; ngân hàng; y tế; du lịch; văn hoá, giải trí; thể dục, thể thao; giao thông, vận tải; khoa học, công nghệ; tiêu chuẩn, đo lường, chất lượng; an ninh, an toàn; nông nghiệp và phát triển nông thôn; thuỷ sản; tài nguyên và môi trường; các dịch vụ khác phát sinh trong quá trình phát triển kinh tế - xã hội cần được xây dựng và áp dụng tiêu chuẩn, quy chuẩn kỹ thuật;</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3. Quá trình sản xuất, khai thác, chế biến, bảo quản, vận chuyển, sử dụng, vận hành, bảo hành, bảo trì, tái chế, tiêu huỷ, quản lý chất lượng sản phẩm, hàng hoá và các quá trình khác trong hoạt động kinh tế - xã hội cần được xây dựng và áp dụng tiêu chuẩn, quy chuẩn kỹ thuật;</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4. Môi trường đất, nước, không khí; tiếng ồn, độ rung, bức xạ, phóng xạ; chất thải rắn, nước thải, khí thải; phương tiện, công cụ và hoạt động quản lý, bảo vệ và gìn giữ môi trường;</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5. Các đối tượng khác trong hoạt động kinh tế - xã hội cần được xây dựng và áp dụng tiêu chuẩn, quy chuẩn kỹ thuật.</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5" w:name="dieu_3"/>
      <w:r w:rsidRPr="001F4197">
        <w:rPr>
          <w:rFonts w:ascii="Helvetica" w:eastAsia="Times New Roman" w:hAnsi="Helvetica" w:cs="Times New Roman"/>
          <w:b/>
          <w:bCs/>
          <w:color w:val="333333"/>
          <w:sz w:val="21"/>
          <w:szCs w:val="21"/>
        </w:rPr>
        <w:t>Điều 3. Kinh phí xây dựng tiêu chuẩn, quy chuẩn kỹ thuật </w:t>
      </w:r>
      <w:r w:rsidRPr="001F4197">
        <w:rPr>
          <w:rFonts w:ascii="Helvetica" w:eastAsia="Times New Roman" w:hAnsi="Helvetica" w:cs="Times New Roman"/>
          <w:color w:val="333333"/>
          <w:sz w:val="21"/>
          <w:szCs w:val="21"/>
        </w:rPr>
        <w:t> </w:t>
      </w:r>
      <w:bookmarkEnd w:id="5"/>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6" w:name="dieu_4"/>
      <w:r w:rsidRPr="001F4197">
        <w:rPr>
          <w:rFonts w:ascii="Helvetica" w:eastAsia="Times New Roman" w:hAnsi="Helvetica" w:cs="Times New Roman"/>
          <w:b/>
          <w:bCs/>
          <w:color w:val="333333"/>
          <w:sz w:val="21"/>
          <w:szCs w:val="21"/>
        </w:rPr>
        <w:t>Điều 4. Chính sách của Nhà nước về phát triển hoạt động trong lĩnh vực tiêu chuẩn và lĩnh vực quy chuẩn kỹ thuật</w:t>
      </w:r>
      <w:bookmarkEnd w:id="6"/>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7" w:name="chuong_2"/>
      <w:r w:rsidRPr="001F4197">
        <w:rPr>
          <w:rFonts w:ascii="Helvetica" w:eastAsia="Times New Roman" w:hAnsi="Helvetica" w:cs="Times New Roman"/>
          <w:b/>
          <w:bCs/>
          <w:color w:val="333333"/>
          <w:sz w:val="21"/>
          <w:szCs w:val="21"/>
        </w:rPr>
        <w:t>Chương 2:</w:t>
      </w:r>
      <w:bookmarkEnd w:id="7"/>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8" w:name="chuong_2_name"/>
      <w:r w:rsidRPr="001F4197">
        <w:rPr>
          <w:rFonts w:ascii="Helvetica" w:eastAsia="Times New Roman" w:hAnsi="Helvetica" w:cs="Times New Roman"/>
          <w:b/>
          <w:bCs/>
          <w:color w:val="333333"/>
          <w:sz w:val="21"/>
          <w:szCs w:val="21"/>
        </w:rPr>
        <w:t>XÂY DỰNG, CÔNG BỐ TIÊU CHUẨN</w:t>
      </w:r>
      <w:bookmarkEnd w:id="8"/>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9" w:name="chuong_3"/>
      <w:r w:rsidRPr="001F4197">
        <w:rPr>
          <w:rFonts w:ascii="Helvetica" w:eastAsia="Times New Roman" w:hAnsi="Helvetica" w:cs="Times New Roman"/>
          <w:b/>
          <w:bCs/>
          <w:color w:val="333333"/>
          <w:sz w:val="21"/>
          <w:szCs w:val="21"/>
        </w:rPr>
        <w:t>Chương 3:</w:t>
      </w:r>
      <w:bookmarkEnd w:id="9"/>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10" w:name="chuong_3_name"/>
      <w:r w:rsidRPr="001F4197">
        <w:rPr>
          <w:rFonts w:ascii="Helvetica" w:eastAsia="Times New Roman" w:hAnsi="Helvetica" w:cs="Times New Roman"/>
          <w:b/>
          <w:bCs/>
          <w:color w:val="333333"/>
          <w:sz w:val="21"/>
          <w:szCs w:val="21"/>
        </w:rPr>
        <w:t>XÂY DỰNG, BAN HÀNH QUY CHUẨN KỸ THUẬT</w:t>
      </w:r>
      <w:bookmarkEnd w:id="10"/>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1" w:name="chuong_4"/>
      <w:r w:rsidRPr="001F4197">
        <w:rPr>
          <w:rFonts w:ascii="Helvetica" w:eastAsia="Times New Roman" w:hAnsi="Helvetica" w:cs="Times New Roman"/>
          <w:b/>
          <w:bCs/>
          <w:color w:val="333333"/>
          <w:sz w:val="21"/>
          <w:szCs w:val="21"/>
          <w:shd w:val="clear" w:color="auto" w:fill="FFFF00"/>
        </w:rPr>
        <w:t>Chương 4:</w:t>
      </w:r>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r w:rsidRPr="001F4197">
        <w:rPr>
          <w:rFonts w:ascii="Helvetica" w:eastAsia="Times New Roman" w:hAnsi="Helvetica" w:cs="Times New Roman"/>
          <w:b/>
          <w:bCs/>
          <w:color w:val="333333"/>
          <w:sz w:val="21"/>
          <w:szCs w:val="21"/>
          <w:shd w:val="clear" w:color="auto" w:fill="FFFF00"/>
        </w:rPr>
        <w:t>ĐÁNH GIÁ SỰ PHÙ HỢP VỚI TIÊU CHUẨN VÀ QUY CHUẨN KỸ THUẬT</w:t>
      </w:r>
      <w:bookmarkEnd w:id="11"/>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2" w:name="dieu_14"/>
      <w:r w:rsidRPr="001F4197">
        <w:rPr>
          <w:rFonts w:ascii="Helvetica" w:eastAsia="Times New Roman" w:hAnsi="Helvetica" w:cs="Times New Roman"/>
          <w:b/>
          <w:bCs/>
          <w:color w:val="333333"/>
          <w:sz w:val="21"/>
          <w:szCs w:val="21"/>
          <w:shd w:val="clear" w:color="auto" w:fill="FFFF00"/>
        </w:rPr>
        <w:t>Điều 14. Công bố hợp chuẩn, công bố hợp quy</w:t>
      </w:r>
      <w:bookmarkEnd w:id="12"/>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xml:space="preserve">1. Công bố hợp chuẩn là hoạt động tự nguyện. Tổ chức, cá nhân sản xuất, kinh doanh khi công bố sản phẩm, hàng hoá, dịch vụ, quá trình, môi trường phù hợp với tiêu chuẩn tương ứng đăng ký bản công </w:t>
      </w:r>
      <w:r w:rsidRPr="001F4197">
        <w:rPr>
          <w:rFonts w:ascii="Helvetica" w:eastAsia="Times New Roman" w:hAnsi="Helvetica" w:cs="Times New Roman"/>
          <w:color w:val="333333"/>
          <w:sz w:val="21"/>
          <w:szCs w:val="21"/>
        </w:rPr>
        <w:lastRenderedPageBreak/>
        <w:t>bố hợp chuẩn tại Chi cục Tiêu chuẩn Đo lường Chất lượng thuộc Sở Khoa học và Công nghệ tỉnh, thành phố trực thuộc Trung ương nơi tổ chức, cá nhân đó đăng ký hoạt động sản xuất, kinh doanh.</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2</w:t>
      </w:r>
      <w:r w:rsidRPr="001F4197">
        <w:rPr>
          <w:rFonts w:ascii="Helvetica" w:eastAsia="Times New Roman" w:hAnsi="Helvetica" w:cs="Times New Roman"/>
          <w:i/>
          <w:iCs/>
          <w:color w:val="333333"/>
          <w:sz w:val="21"/>
          <w:szCs w:val="21"/>
        </w:rPr>
        <w:t>.</w:t>
      </w:r>
      <w:r w:rsidRPr="001F4197">
        <w:rPr>
          <w:rFonts w:ascii="Helvetica" w:eastAsia="Times New Roman" w:hAnsi="Helvetica" w:cs="Times New Roman"/>
          <w:color w:val="333333"/>
          <w:sz w:val="21"/>
          <w:szCs w:val="21"/>
        </w:rPr>
        <w:t> Công bố hợp quy là hoạt động bắt buộc. Tổ chức, cá nhân sản xuất, kinh doanh phải công bố hợp quy theo quy định trong các quy chuẩn kỹ thuật tương ứng. Khi công bố hợp quy, tổ chức, cá nhân sản xuất kinh doanh phải đăng ký bản công bố hợp quy</w:t>
      </w:r>
      <w:r w:rsidRPr="001F4197">
        <w:rPr>
          <w:rFonts w:ascii="Helvetica" w:eastAsia="Times New Roman" w:hAnsi="Helvetica" w:cs="Times New Roman"/>
          <w:i/>
          <w:iCs/>
          <w:color w:val="333333"/>
          <w:sz w:val="21"/>
          <w:szCs w:val="21"/>
        </w:rPr>
        <w:t> </w:t>
      </w:r>
      <w:r w:rsidRPr="001F4197">
        <w:rPr>
          <w:rFonts w:ascii="Helvetica" w:eastAsia="Times New Roman" w:hAnsi="Helvetica" w:cs="Times New Roman"/>
          <w:color w:val="333333"/>
          <w:sz w:val="21"/>
          <w:szCs w:val="21"/>
        </w:rPr>
        <w:t>tại sở chuyên ngành tương ứng tại địa phương nơi tổ chức, cá nhân đó đăng ký hoạt động sản xuất, kinh doanh</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3</w:t>
      </w:r>
      <w:r w:rsidRPr="001F4197">
        <w:rPr>
          <w:rFonts w:ascii="Helvetica" w:eastAsia="Times New Roman" w:hAnsi="Helvetica" w:cs="Times New Roman"/>
          <w:i/>
          <w:iCs/>
          <w:color w:val="333333"/>
          <w:sz w:val="21"/>
          <w:szCs w:val="21"/>
        </w:rPr>
        <w:t>.</w:t>
      </w:r>
      <w:r w:rsidRPr="001F4197">
        <w:rPr>
          <w:rFonts w:ascii="Helvetica" w:eastAsia="Times New Roman" w:hAnsi="Helvetica" w:cs="Times New Roman"/>
          <w:color w:val="333333"/>
          <w:sz w:val="21"/>
          <w:szCs w:val="21"/>
        </w:rPr>
        <w:t> Bộ, cơ quan ngang Bộ ban hành quy chuẩn kỹ thuật quốc gia có trách nhiệm thông báo công khai về các sở chuyên ngành tương ứng tại địa phương tiếp nhận bản công bố hợp quy trên trang tin điện tử (website) của mình và trên phương tiện thông tin đại chúng.</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Định kỳ hằng quý, các sở chuyên ngành tương ứng tại địa phương tiếp nhận bản công bố hợp quy lập danh sách các tổ chức, cá nhân đã đăng ký công bố hợp quy và gửi cho các cơ quan sau:</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a) Bộ, cơ quan ngang Bộ ban hành quy chuẩn kỹ thuật quốc gia;</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b) Sở Khoa học và Công nghệ tỉnh, thành phố trực thuộc Trung ương nơi tổ chức, cá nhân đăng ký hoạt động sản xuất, kinh doanh để tổng hợp, báo cáo Bộ Khoa học và Công nghệ.</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4. Ủy ban nhân dân tỉnh, thành phố trực thuộc Trung ương ban hành quy chuẩn kỹ thuật địa phương có trách nhiệm thông báo công khai về các sở chuyên ngành tương ứng tại địa phương tiếp nhận bản công bố hợp quy trên trang tin điện tử (website) của mình và trên phương tiện thông tin đại chúng.</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Định kỳ hằng quý, các sở chuyên ngành tương ứng tại địa phương tiếp nhận bản công bố hợp quy lập danh sách các tổ chức, cá nhân đã đăng ký công bố hợp quy và gửi cho các cơ quan sau:</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a) Cơ quan đầu mối được chỉ định theo quy định tại khoản 2 Điều 21  Nghị định này thuộc các Bộ quản lý chuyên ngành quản lý đối tượng quy chuẩn kỹ thuật địa phương tương ứng.</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b) Sở Khoa học và Công nghệ tỉnh, thành phố trực thuộc Trung ương nơi tổ chức, cá nhân đăng ký hoạt động sản xuất, kinh doanh để tổng hợp, báo cáo Ủy ban nhân dân tỉnh, thành phố trực thuộc Trung ương ban hành quy chuẩn kỹ thuật địa phương và Bộ Khoa học và Công nghệ.</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3" w:name="dieu_15"/>
      <w:r w:rsidRPr="001F4197">
        <w:rPr>
          <w:rFonts w:ascii="Helvetica" w:eastAsia="Times New Roman" w:hAnsi="Helvetica" w:cs="Times New Roman"/>
          <w:b/>
          <w:bCs/>
          <w:color w:val="333333"/>
          <w:sz w:val="21"/>
          <w:szCs w:val="21"/>
          <w:shd w:val="clear" w:color="auto" w:fill="FFFF00"/>
        </w:rPr>
        <w:t>Điều 15. Dấu hợp chuẩn, dấu hợp quy</w:t>
      </w:r>
      <w:bookmarkEnd w:id="13"/>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4" w:name="dieu_16"/>
      <w:r w:rsidRPr="001F4197">
        <w:rPr>
          <w:rFonts w:ascii="Helvetica" w:eastAsia="Times New Roman" w:hAnsi="Helvetica" w:cs="Times New Roman"/>
          <w:b/>
          <w:bCs/>
          <w:color w:val="333333"/>
          <w:sz w:val="21"/>
          <w:szCs w:val="21"/>
          <w:shd w:val="clear" w:color="auto" w:fill="FFFF00"/>
        </w:rPr>
        <w:t>Điều 16. Tổ chức chứng nhận sự phù hợp</w:t>
      </w:r>
      <w:bookmarkEnd w:id="14"/>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5" w:name="dieu_17"/>
      <w:r w:rsidRPr="001F4197">
        <w:rPr>
          <w:rFonts w:ascii="Helvetica" w:eastAsia="Times New Roman" w:hAnsi="Helvetica" w:cs="Times New Roman"/>
          <w:b/>
          <w:bCs/>
          <w:color w:val="333333"/>
          <w:sz w:val="21"/>
          <w:szCs w:val="21"/>
          <w:shd w:val="clear" w:color="auto" w:fill="FFFF00"/>
        </w:rPr>
        <w:t>Điều 17. Tổ chức công nhận</w:t>
      </w:r>
      <w:bookmarkEnd w:id="15"/>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6" w:name="khoan_3_17"/>
      <w:r w:rsidRPr="001F4197">
        <w:rPr>
          <w:rFonts w:ascii="Helvetica" w:eastAsia="Times New Roman" w:hAnsi="Helvetica" w:cs="Times New Roman"/>
          <w:color w:val="333333"/>
          <w:sz w:val="21"/>
          <w:szCs w:val="21"/>
          <w:shd w:val="clear" w:color="auto" w:fill="FFFF00"/>
        </w:rPr>
        <w:t>3. Bộ Khoa học và Công nghệ chịu trách nhiệm thống nhất quản lý hoạt động của tổ chức công nhận.</w:t>
      </w:r>
      <w:bookmarkEnd w:id="16"/>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7" w:name="dieu_18"/>
      <w:r w:rsidRPr="001F4197">
        <w:rPr>
          <w:rFonts w:ascii="Helvetica" w:eastAsia="Times New Roman" w:hAnsi="Helvetica" w:cs="Times New Roman"/>
          <w:b/>
          <w:bCs/>
          <w:color w:val="333333"/>
          <w:sz w:val="21"/>
          <w:szCs w:val="21"/>
          <w:shd w:val="clear" w:color="auto" w:fill="FFFF00"/>
        </w:rPr>
        <w:t>Điều 18. Chỉ định tổ chức thực hiện thử nghiệm, hiệu chuẩn, giám định phục vụ mục đích quản lý chuyên ngành</w:t>
      </w:r>
      <w:bookmarkEnd w:id="17"/>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8" w:name="dieu_19"/>
      <w:r w:rsidRPr="001F4197">
        <w:rPr>
          <w:rFonts w:ascii="Helvetica" w:eastAsia="Times New Roman" w:hAnsi="Helvetica" w:cs="Times New Roman"/>
          <w:b/>
          <w:bCs/>
          <w:color w:val="333333"/>
          <w:sz w:val="21"/>
          <w:szCs w:val="21"/>
        </w:rPr>
        <w:t>Điều 19. Hiệp định, thoả thuận thừa nhận lẫn nhau</w:t>
      </w:r>
      <w:bookmarkEnd w:id="18"/>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19" w:name="khoan_3_19"/>
      <w:r w:rsidRPr="001F4197">
        <w:rPr>
          <w:rFonts w:ascii="Helvetica" w:eastAsia="Times New Roman" w:hAnsi="Helvetica" w:cs="Times New Roman"/>
          <w:color w:val="333333"/>
          <w:sz w:val="21"/>
          <w:szCs w:val="21"/>
          <w:shd w:val="clear" w:color="auto" w:fill="FFFF00"/>
        </w:rPr>
        <w:t>3. Bộ Khoa học và Công nghệ phối hợp với Bộ Ngoại giao hướng dẫn việc ký kết và thực hiện các thoả thuận thừa nhận lẫn nhau về kết quả đánh giá sự phù hợp giữa tổ chức đánh giá sự phù hợp của Việt Nam với tổ chức đánh giá sự phù hợp của các quốc gia, vùng lãnh thổ, tổ chức quốc tế và khu vực</w:t>
      </w:r>
      <w:bookmarkEnd w:id="19"/>
      <w:r w:rsidRPr="001F4197">
        <w:rPr>
          <w:rFonts w:ascii="Helvetica" w:eastAsia="Times New Roman" w:hAnsi="Helvetica" w:cs="Times New Roman"/>
          <w:color w:val="333333"/>
          <w:sz w:val="21"/>
          <w:szCs w:val="21"/>
        </w:rPr>
        <w:t>.</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0" w:name="chuong_5"/>
      <w:r w:rsidRPr="001F4197">
        <w:rPr>
          <w:rFonts w:ascii="Helvetica" w:eastAsia="Times New Roman" w:hAnsi="Helvetica" w:cs="Times New Roman"/>
          <w:b/>
          <w:bCs/>
          <w:color w:val="333333"/>
          <w:sz w:val="21"/>
          <w:szCs w:val="21"/>
        </w:rPr>
        <w:t>Chương 5:</w:t>
      </w:r>
      <w:bookmarkEnd w:id="20"/>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21" w:name="chuong_5_name"/>
      <w:r w:rsidRPr="001F4197">
        <w:rPr>
          <w:rFonts w:ascii="Helvetica" w:eastAsia="Times New Roman" w:hAnsi="Helvetica" w:cs="Times New Roman"/>
          <w:b/>
          <w:bCs/>
          <w:color w:val="333333"/>
          <w:sz w:val="21"/>
          <w:szCs w:val="21"/>
        </w:rPr>
        <w:t>TRÁCH NHIỆM CỦA CƠ QUAN, TỔ CHỨC, CÁ NHÂN HOẠT ĐỘNG TRONG LĨNH VỰC TIÊU CHUẨN VÀ LĨNH VỰC QUY CHUẨN KỸ THUẬT</w:t>
      </w:r>
      <w:bookmarkEnd w:id="21"/>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2" w:name="dieu_20"/>
      <w:r w:rsidRPr="001F4197">
        <w:rPr>
          <w:rFonts w:ascii="Helvetica" w:eastAsia="Times New Roman" w:hAnsi="Helvetica" w:cs="Times New Roman"/>
          <w:b/>
          <w:bCs/>
          <w:color w:val="333333"/>
          <w:sz w:val="21"/>
          <w:szCs w:val="21"/>
        </w:rPr>
        <w:t>Điều 20. Trách nhiệm của Bộ Khoa học và Công nghệ</w:t>
      </w:r>
      <w:bookmarkEnd w:id="22"/>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3" w:name="dieu_23"/>
      <w:r w:rsidRPr="001F4197">
        <w:rPr>
          <w:rFonts w:ascii="Helvetica" w:eastAsia="Times New Roman" w:hAnsi="Helvetica" w:cs="Times New Roman"/>
          <w:b/>
          <w:bCs/>
          <w:color w:val="333333"/>
          <w:sz w:val="21"/>
          <w:szCs w:val="21"/>
        </w:rPr>
        <w:t>Điều 23. Phân công trách nhiệm xây dựng, ban hành quy chuẩn kỹ thuật quốc gia </w:t>
      </w:r>
      <w:bookmarkEnd w:id="23"/>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4" w:name="khoan_1_23"/>
      <w:r w:rsidRPr="001F4197">
        <w:rPr>
          <w:rFonts w:ascii="Helvetica" w:eastAsia="Times New Roman" w:hAnsi="Helvetica" w:cs="Times New Roman"/>
          <w:color w:val="333333"/>
          <w:sz w:val="21"/>
          <w:szCs w:val="21"/>
          <w:shd w:val="clear" w:color="auto" w:fill="FFFF00"/>
        </w:rPr>
        <w:t>1. Bộ, cơ quan ngang Bộ thực hiện việc xây dựng, ban hành quy chuẩn kỹ thuật quốc gia cho các lĩnh vực được Chính phủ phân công, cụ thể như sau:</w:t>
      </w:r>
      <w:bookmarkEnd w:id="24"/>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a) Bộ Y tế: </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Sức khoẻ của cộng đồng; vệ sinh, an toàn thực phẩm, nước uống, nước sinh hoạt, vắc xin và sinh phẩm y tế và điều kiện sản xuất; hoá chất gia dụng, chế phẩm diệt côn trùng, diệt khuẩn;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Khám, chữa bệnh, chăm sóc, điều dưỡng, phục hồi chức năng, thẩm mỹ, giám định trong lĩnh vực y tế;</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Thuốc, nguyên liệu làm thuốc, mỹ phẩm;</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Trang thiết bị, công trình y tế;</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Dịch vụ trong lĩnh vực y tế.</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b) Bộ Nông nghiệp và Phát triển nông thôn:</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5" w:name="cumtu_7"/>
      <w:r w:rsidRPr="001F4197">
        <w:rPr>
          <w:rFonts w:ascii="Helvetica" w:eastAsia="Times New Roman" w:hAnsi="Helvetica" w:cs="Times New Roman"/>
          <w:color w:val="333333"/>
          <w:sz w:val="21"/>
          <w:szCs w:val="21"/>
        </w:rPr>
        <w:lastRenderedPageBreak/>
        <w:t>- Sản xuất, chế biến, thu hoạch, bảo quản, vận chuyển nông sản, lâm sản, muối, giết mổ gia súc, gia cầm</w:t>
      </w:r>
      <w:bookmarkEnd w:id="25"/>
      <w:r w:rsidRPr="001F4197">
        <w:rPr>
          <w:rFonts w:ascii="Helvetica" w:eastAsia="Times New Roman" w:hAnsi="Helvetica" w:cs="Times New Roman"/>
          <w:color w:val="333333"/>
          <w:sz w:val="21"/>
          <w:szCs w:val="21"/>
        </w:rPr>
        <w:t>;</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Giống cây trồng, giống vật nuôi (trừ thuỷ sản);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Vật tư nông nghiệp và lâm nghiệp, phân bón, thức ăn chăn nuôi;</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Bảo vệ thực vật, thú y, kiểm dịch thực vật, động vật;</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Công trình thuỷ lợi, đê điều;</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Dịch vụ trong lĩnh vực nông nghiệp và phát triển nông thôn.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c) Bộ Thuỷ sản: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An toàn, vệ sinh thuỷ sản, thực phẩm thuỷ sản xuất khẩu, thức ăn nuôi trồng thuỷ sản, thuốc thú y thuỷ sản, hoá chất, chế phẩm sinh học dùng trong nuôi trồng thuỷ sản, giống thuỷ sản;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An toàn, vệ sinh trong quá trình sản xuất từ nuôi trồng, khai thác, chế biến, bảo quản, vận chuyển thuỷ sản;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Dụng cụ đánh bắt thuỷ sản, các thiết bị đòi hỏi yêu cầu nghiêm ngặt về an toàn trong ngành thuỷ sản;</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 Dịch vụ trong lĩnh vực thuỷ sản.</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6" w:name="chuong_6"/>
      <w:r w:rsidRPr="001F4197">
        <w:rPr>
          <w:rFonts w:ascii="Helvetica" w:eastAsia="Times New Roman" w:hAnsi="Helvetica" w:cs="Times New Roman"/>
          <w:b/>
          <w:bCs/>
          <w:color w:val="333333"/>
          <w:sz w:val="21"/>
          <w:szCs w:val="21"/>
        </w:rPr>
        <w:t>Chương 6:</w:t>
      </w:r>
      <w:bookmarkEnd w:id="26"/>
    </w:p>
    <w:p w:rsidR="001F4197" w:rsidRPr="001F4197" w:rsidRDefault="001F4197" w:rsidP="001F4197">
      <w:pPr>
        <w:shd w:val="clear" w:color="auto" w:fill="FFFFFF"/>
        <w:spacing w:after="0" w:line="240" w:lineRule="auto"/>
        <w:jc w:val="center"/>
        <w:rPr>
          <w:rFonts w:ascii="Helvetica" w:eastAsia="Times New Roman" w:hAnsi="Helvetica" w:cs="Times New Roman"/>
          <w:color w:val="333333"/>
          <w:sz w:val="21"/>
          <w:szCs w:val="21"/>
        </w:rPr>
      </w:pPr>
      <w:bookmarkStart w:id="27" w:name="chuong_6_name"/>
      <w:r w:rsidRPr="001F4197">
        <w:rPr>
          <w:rFonts w:ascii="Helvetica" w:eastAsia="Times New Roman" w:hAnsi="Helvetica" w:cs="Times New Roman"/>
          <w:b/>
          <w:bCs/>
          <w:color w:val="333333"/>
          <w:sz w:val="21"/>
          <w:szCs w:val="21"/>
        </w:rPr>
        <w:t>ĐIỀU KHOẢN THI HÀNH</w:t>
      </w:r>
      <w:bookmarkEnd w:id="27"/>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8" w:name="dieu_26"/>
      <w:r w:rsidRPr="001F4197">
        <w:rPr>
          <w:rFonts w:ascii="Helvetica" w:eastAsia="Times New Roman" w:hAnsi="Helvetica" w:cs="Times New Roman"/>
          <w:b/>
          <w:bCs/>
          <w:color w:val="333333"/>
          <w:sz w:val="21"/>
          <w:szCs w:val="21"/>
        </w:rPr>
        <w:t>Điều 26. Hiệu lực thi hành</w:t>
      </w:r>
      <w:bookmarkEnd w:id="28"/>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1. Nghị định này có hiệu lực thi hành sau 15 ngày, kể từ ngày đăng Công báo. Những quy định trước đây trái Nghị định này đều bãi bỏ.</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2. Tiêu chuẩn Việt Nam, tiêu chuẩn ngành tự nguyện áp dụng ban hành  trước thời điểm có hiệu lực của Luật Tiêu chuẩn và Quy chuẩn kỹ thuật chưa được chuyển đổi thành tiêu chuẩn quốc gia được tiếp tục sử dụng đến thời hạn chuyển đổi quy định tại khoản 2 Điều 6, khoản 2 Điều 7 Nghị định này.</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29" w:name="khoan_3"/>
      <w:r w:rsidRPr="001F4197">
        <w:rPr>
          <w:rFonts w:ascii="Helvetica" w:eastAsia="Times New Roman" w:hAnsi="Helvetica" w:cs="Times New Roman"/>
          <w:color w:val="333333"/>
          <w:sz w:val="21"/>
          <w:szCs w:val="21"/>
          <w:shd w:val="clear" w:color="auto" w:fill="FFFF00"/>
        </w:rPr>
        <w:t>3. Tiêu chuẩn Việt Nam, tiêu chuẩn ngàn</w:t>
      </w:r>
      <w:bookmarkStart w:id="30" w:name="_GoBack"/>
      <w:bookmarkEnd w:id="30"/>
      <w:r w:rsidRPr="001F4197">
        <w:rPr>
          <w:rFonts w:ascii="Helvetica" w:eastAsia="Times New Roman" w:hAnsi="Helvetica" w:cs="Times New Roman"/>
          <w:color w:val="333333"/>
          <w:sz w:val="21"/>
          <w:szCs w:val="21"/>
          <w:shd w:val="clear" w:color="auto" w:fill="FFFF00"/>
        </w:rPr>
        <w:t>h và quy định kỹ thuật, quy trình, quy phạm, quy chuẩn, tài liệu kỹ thuật bắt buộc áp dụng ban hành trước thời điểm có hiệu lực của Luật Tiêu chuẩn và Quy chuẩn kỹ thuật chưa được chuyển đổi thành quy chuẩn kỹ thuật quốc gia được giữ nguyên hiệu lực đến thời hạn có hiệu lực của quy chuẩn kỹ thuật quốc gia tương ứng được chuyển đổi theo quy định tại Điều 11,  Điều 12 Nghị định này.</w:t>
      </w:r>
      <w:bookmarkEnd w:id="29"/>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4. Tiêu chuẩn Việt Nam, tiêu chuẩn ngành và quy định kỹ thuật, quy trình, quy phạm, quy chuẩn, tài liệu kỹ thuật bắt buộc áp dụng ban hành trước thời điểm có hiệu lực của Luật Tiêu chuẩn và Quy chuẩn kỹ thuật được sử dụng trong các dự án phát triển kinh tế - xã hội đã được phê duyệt trước ngày Luật Tiêu chuẩn và Quy chuẩn kỹ thuật có hiệu lực vẫn tiếp tục còn hiệu lực cho các dự án đó nếu các quy định của các văn bản này không ảnh hưởng đến chất lượng của dự án.</w:t>
      </w:r>
    </w:p>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bookmarkStart w:id="31" w:name="dieu_27"/>
      <w:r w:rsidRPr="001F4197">
        <w:rPr>
          <w:rFonts w:ascii="Helvetica" w:eastAsia="Times New Roman" w:hAnsi="Helvetica" w:cs="Times New Roman"/>
          <w:b/>
          <w:bCs/>
          <w:color w:val="333333"/>
          <w:sz w:val="21"/>
          <w:szCs w:val="21"/>
        </w:rPr>
        <w:t>Điều 27. Trách nhiệm thi hành</w:t>
      </w:r>
      <w:bookmarkEnd w:id="31"/>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1. Bộ trưởng Bộ Khoa học và Công nghệ có trách nhiệm hướng dẫn thực hiện Nghị định này.</w:t>
      </w:r>
    </w:p>
    <w:p w:rsidR="001F4197" w:rsidRPr="001F4197" w:rsidRDefault="001F4197" w:rsidP="001F4197">
      <w:pPr>
        <w:shd w:val="clear" w:color="auto" w:fill="FFFFFF"/>
        <w:spacing w:before="120" w:after="120" w:line="240" w:lineRule="auto"/>
        <w:rPr>
          <w:rFonts w:ascii="Helvetica" w:eastAsia="Times New Roman" w:hAnsi="Helvetica" w:cs="Times New Roman"/>
          <w:color w:val="333333"/>
          <w:sz w:val="21"/>
          <w:szCs w:val="21"/>
        </w:rPr>
      </w:pPr>
      <w:r w:rsidRPr="001F4197">
        <w:rPr>
          <w:rFonts w:ascii="Helvetica" w:eastAsia="Times New Roman" w:hAnsi="Helvetica" w:cs="Times New Roman"/>
          <w:color w:val="333333"/>
          <w:sz w:val="21"/>
          <w:szCs w:val="21"/>
        </w:rPr>
        <w:t>2. Các Bộ tr</w:t>
      </w:r>
      <w:r w:rsidRPr="001F4197">
        <w:rPr>
          <w:rFonts w:ascii="Helvetica" w:eastAsia="Times New Roman" w:hAnsi="Helvetica" w:cs="Times New Roman"/>
          <w:color w:val="333333"/>
          <w:sz w:val="21"/>
          <w:szCs w:val="21"/>
        </w:rPr>
        <w:softHyphen/>
        <w:t>ưởng, Thủ trưởng cơ quan ngang Bộ, Thủ trưởng cơ quan thuộc Chính phủ, Chủ tịch Ủy ban nhân dân các tỉnh, thành phố trực thuộc Trung ương chịu trách nhiệm thi hành Nghị định này./.</w:t>
      </w:r>
    </w:p>
    <w:tbl>
      <w:tblPr>
        <w:tblW w:w="5000" w:type="pct"/>
        <w:tblCellMar>
          <w:left w:w="0" w:type="dxa"/>
          <w:right w:w="0" w:type="dxa"/>
        </w:tblCellMar>
        <w:tblLook w:val="04A0" w:firstRow="1" w:lastRow="0" w:firstColumn="1" w:lastColumn="0" w:noHBand="0" w:noVBand="1"/>
      </w:tblPr>
      <w:tblGrid>
        <w:gridCol w:w="6493"/>
        <w:gridCol w:w="3206"/>
      </w:tblGrid>
      <w:tr w:rsidR="001F4197" w:rsidRPr="001F4197" w:rsidTr="001F4197">
        <w:tc>
          <w:tcPr>
            <w:tcW w:w="0" w:type="auto"/>
            <w:shd w:val="clear" w:color="auto" w:fill="auto"/>
            <w:tcMar>
              <w:top w:w="30" w:type="dxa"/>
              <w:left w:w="30" w:type="dxa"/>
              <w:bottom w:w="30" w:type="dxa"/>
              <w:right w:w="30" w:type="dxa"/>
            </w:tcMar>
            <w:hideMark/>
          </w:tcPr>
          <w:p w:rsidR="001F4197" w:rsidRPr="001F4197" w:rsidRDefault="001F4197" w:rsidP="001F4197">
            <w:pPr>
              <w:spacing w:after="150" w:line="240" w:lineRule="auto"/>
              <w:rPr>
                <w:rFonts w:ascii="Times New Roman" w:eastAsia="Times New Roman" w:hAnsi="Times New Roman" w:cs="Times New Roman"/>
                <w:sz w:val="24"/>
                <w:szCs w:val="24"/>
              </w:rPr>
            </w:pPr>
            <w:r w:rsidRPr="001F4197">
              <w:rPr>
                <w:rFonts w:ascii="Helvetica" w:eastAsia="Times New Roman" w:hAnsi="Helvetica" w:cs="Times New Roman"/>
                <w:color w:val="333333"/>
                <w:sz w:val="21"/>
                <w:szCs w:val="21"/>
              </w:rPr>
              <w:t> </w:t>
            </w:r>
            <w:r w:rsidRPr="001F4197">
              <w:rPr>
                <w:rFonts w:ascii="Times New Roman" w:eastAsia="Times New Roman" w:hAnsi="Times New Roman" w:cs="Times New Roman"/>
                <w:sz w:val="24"/>
                <w:szCs w:val="24"/>
              </w:rPr>
              <w:t> </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b/>
                <w:bCs/>
                <w:i/>
                <w:iCs/>
                <w:sz w:val="24"/>
                <w:szCs w:val="24"/>
              </w:rPr>
              <w:t>Nơi nhận:</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t> </w:t>
            </w:r>
            <w:r w:rsidRPr="001F4197">
              <w:rPr>
                <w:rFonts w:ascii="Times New Roman" w:eastAsia="Times New Roman" w:hAnsi="Times New Roman" w:cs="Times New Roman"/>
                <w:sz w:val="16"/>
                <w:szCs w:val="16"/>
              </w:rPr>
              <w:t>- Ban Bí thư Trung ương Đảng;</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16"/>
                <w:szCs w:val="16"/>
              </w:rPr>
              <w:t>- Thủ tướng, các Phó Thủ tướng Chính phủ; </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16"/>
                <w:szCs w:val="16"/>
              </w:rPr>
              <w:t>- Các Bộ, cơ quan ngang Bộ, cơ quan thuộc CP;</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16"/>
                <w:szCs w:val="16"/>
              </w:rPr>
              <w:t>- Văn phòng BCĐTW về phòng, chống tham nhũng;</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16"/>
                <w:szCs w:val="16"/>
              </w:rPr>
              <w:t>- HĐND, UBND các tỉnh, thành phố trực thuộc Trung ương;</w:t>
            </w:r>
          </w:p>
          <w:p w:rsidR="001F4197" w:rsidRPr="001F4197" w:rsidRDefault="001F4197" w:rsidP="001F4197">
            <w:pPr>
              <w:spacing w:after="0" w:line="240" w:lineRule="auto"/>
              <w:rPr>
                <w:rFonts w:ascii="Times New Roman" w:eastAsia="Times New Roman" w:hAnsi="Times New Roman" w:cs="Times New Roman"/>
                <w:sz w:val="24"/>
                <w:szCs w:val="24"/>
              </w:rPr>
            </w:pPr>
            <w:r w:rsidRPr="001F4197">
              <w:rPr>
                <w:rFonts w:ascii="Times New Roman" w:eastAsia="Times New Roman" w:hAnsi="Times New Roman" w:cs="Times New Roman"/>
                <w:sz w:val="16"/>
                <w:szCs w:val="16"/>
              </w:rPr>
              <w:t>- Văn phòng</w:t>
            </w:r>
            <w:r>
              <w:rPr>
                <w:rFonts w:ascii="Times New Roman" w:eastAsia="Times New Roman" w:hAnsi="Times New Roman" w:cs="Times New Roman"/>
                <w:sz w:val="16"/>
                <w:szCs w:val="16"/>
              </w:rPr>
              <w:t xml:space="preserve"> Trung ương và các Ban của Đảng</w:t>
            </w:r>
          </w:p>
        </w:tc>
        <w:tc>
          <w:tcPr>
            <w:tcW w:w="0" w:type="auto"/>
            <w:shd w:val="clear" w:color="auto" w:fill="auto"/>
            <w:tcMar>
              <w:top w:w="30" w:type="dxa"/>
              <w:left w:w="30" w:type="dxa"/>
              <w:bottom w:w="30" w:type="dxa"/>
              <w:right w:w="30" w:type="dxa"/>
            </w:tcMar>
            <w:hideMark/>
          </w:tcPr>
          <w:p w:rsidR="001F4197" w:rsidRPr="001F4197" w:rsidRDefault="001F4197" w:rsidP="001F4197">
            <w:pPr>
              <w:spacing w:after="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b/>
                <w:bCs/>
                <w:sz w:val="24"/>
                <w:szCs w:val="24"/>
              </w:rPr>
              <w:t>TM. CHÍNH PHỦ</w:t>
            </w:r>
            <w:r w:rsidRPr="001F4197">
              <w:rPr>
                <w:rFonts w:ascii="Times New Roman" w:eastAsia="Times New Roman" w:hAnsi="Times New Roman" w:cs="Times New Roman"/>
                <w:b/>
                <w:bCs/>
                <w:sz w:val="24"/>
                <w:szCs w:val="24"/>
              </w:rPr>
              <w:br/>
              <w:t>THỦ TƯỚNG</w:t>
            </w:r>
          </w:p>
          <w:p w:rsidR="001F4197" w:rsidRPr="001F4197" w:rsidRDefault="001F4197" w:rsidP="001F4197">
            <w:pPr>
              <w:spacing w:after="15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t> </w:t>
            </w:r>
          </w:p>
          <w:p w:rsidR="001F4197" w:rsidRPr="001F4197" w:rsidRDefault="001F4197" w:rsidP="001F4197">
            <w:pPr>
              <w:spacing w:after="15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t> </w:t>
            </w:r>
          </w:p>
          <w:p w:rsidR="001F4197" w:rsidRPr="001F4197" w:rsidRDefault="001F4197" w:rsidP="001F4197">
            <w:pPr>
              <w:spacing w:after="0" w:line="240" w:lineRule="auto"/>
              <w:jc w:val="center"/>
              <w:rPr>
                <w:rFonts w:ascii="Times New Roman" w:eastAsia="Times New Roman" w:hAnsi="Times New Roman" w:cs="Times New Roman"/>
                <w:sz w:val="24"/>
                <w:szCs w:val="24"/>
              </w:rPr>
            </w:pPr>
            <w:r w:rsidRPr="001F4197">
              <w:rPr>
                <w:rFonts w:ascii="Times New Roman" w:eastAsia="Times New Roman" w:hAnsi="Times New Roman" w:cs="Times New Roman"/>
                <w:sz w:val="24"/>
                <w:szCs w:val="24"/>
              </w:rPr>
              <w:br/>
            </w:r>
            <w:r w:rsidRPr="001F4197">
              <w:rPr>
                <w:rFonts w:ascii="Times New Roman" w:eastAsia="Times New Roman" w:hAnsi="Times New Roman" w:cs="Times New Roman"/>
                <w:b/>
                <w:bCs/>
                <w:sz w:val="24"/>
                <w:szCs w:val="24"/>
              </w:rPr>
              <w:t>Nguyễn Tấn Dũng</w:t>
            </w:r>
          </w:p>
        </w:tc>
      </w:tr>
    </w:tbl>
    <w:p w:rsidR="001F4197" w:rsidRPr="001F4197" w:rsidRDefault="001F4197" w:rsidP="001F4197">
      <w:pPr>
        <w:shd w:val="clear" w:color="auto" w:fill="FFFFFF"/>
        <w:spacing w:after="0" w:line="240" w:lineRule="auto"/>
        <w:rPr>
          <w:rFonts w:ascii="Helvetica" w:eastAsia="Times New Roman" w:hAnsi="Helvetica" w:cs="Times New Roman"/>
          <w:color w:val="333333"/>
          <w:sz w:val="21"/>
          <w:szCs w:val="21"/>
        </w:rPr>
      </w:pPr>
    </w:p>
    <w:sectPr w:rsidR="001F4197" w:rsidRPr="001F4197" w:rsidSect="00847406">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14E"/>
    <w:multiLevelType w:val="multilevel"/>
    <w:tmpl w:val="5B40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00547"/>
    <w:multiLevelType w:val="multilevel"/>
    <w:tmpl w:val="4C5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B7565"/>
    <w:multiLevelType w:val="multilevel"/>
    <w:tmpl w:val="D16A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C3582"/>
    <w:multiLevelType w:val="multilevel"/>
    <w:tmpl w:val="E04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97"/>
    <w:rsid w:val="00120A11"/>
    <w:rsid w:val="001F4197"/>
    <w:rsid w:val="00710DF5"/>
    <w:rsid w:val="00847406"/>
    <w:rsid w:val="00C41BD5"/>
    <w:rsid w:val="00D2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197"/>
    <w:rPr>
      <w:b/>
      <w:bCs/>
    </w:rPr>
  </w:style>
  <w:style w:type="paragraph" w:styleId="BalloonText">
    <w:name w:val="Balloon Text"/>
    <w:basedOn w:val="Normal"/>
    <w:link w:val="BalloonTextChar"/>
    <w:uiPriority w:val="99"/>
    <w:semiHidden/>
    <w:unhideWhenUsed/>
    <w:rsid w:val="001F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197"/>
    <w:rPr>
      <w:b/>
      <w:bCs/>
    </w:rPr>
  </w:style>
  <w:style w:type="paragraph" w:styleId="BalloonText">
    <w:name w:val="Balloon Text"/>
    <w:basedOn w:val="Normal"/>
    <w:link w:val="BalloonTextChar"/>
    <w:uiPriority w:val="99"/>
    <w:semiHidden/>
    <w:unhideWhenUsed/>
    <w:rsid w:val="001F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43815">
      <w:bodyDiv w:val="1"/>
      <w:marLeft w:val="0"/>
      <w:marRight w:val="0"/>
      <w:marTop w:val="0"/>
      <w:marBottom w:val="0"/>
      <w:divBdr>
        <w:top w:val="none" w:sz="0" w:space="0" w:color="auto"/>
        <w:left w:val="none" w:sz="0" w:space="0" w:color="auto"/>
        <w:bottom w:val="none" w:sz="0" w:space="0" w:color="auto"/>
        <w:right w:val="none" w:sz="0" w:space="0" w:color="auto"/>
      </w:divBdr>
      <w:divsChild>
        <w:div w:id="730152156">
          <w:marLeft w:val="0"/>
          <w:marRight w:val="0"/>
          <w:marTop w:val="0"/>
          <w:marBottom w:val="0"/>
          <w:divBdr>
            <w:top w:val="none" w:sz="0" w:space="0" w:color="auto"/>
            <w:left w:val="none" w:sz="0" w:space="0" w:color="auto"/>
            <w:bottom w:val="none" w:sz="0" w:space="0" w:color="auto"/>
            <w:right w:val="none" w:sz="0" w:space="0" w:color="auto"/>
          </w:divBdr>
          <w:divsChild>
            <w:div w:id="550464043">
              <w:marLeft w:val="0"/>
              <w:marRight w:val="0"/>
              <w:marTop w:val="0"/>
              <w:marBottom w:val="0"/>
              <w:divBdr>
                <w:top w:val="none" w:sz="0" w:space="0" w:color="auto"/>
                <w:left w:val="none" w:sz="0" w:space="0" w:color="auto"/>
                <w:bottom w:val="none" w:sz="0" w:space="0" w:color="auto"/>
                <w:right w:val="none" w:sz="0" w:space="0" w:color="auto"/>
              </w:divBdr>
            </w:div>
          </w:divsChild>
        </w:div>
        <w:div w:id="759176438">
          <w:marLeft w:val="0"/>
          <w:marRight w:val="0"/>
          <w:marTop w:val="0"/>
          <w:marBottom w:val="0"/>
          <w:divBdr>
            <w:top w:val="none" w:sz="0" w:space="0" w:color="auto"/>
            <w:left w:val="none" w:sz="0" w:space="0" w:color="auto"/>
            <w:bottom w:val="none" w:sz="0" w:space="0" w:color="auto"/>
            <w:right w:val="none" w:sz="0" w:space="0" w:color="auto"/>
          </w:divBdr>
          <w:divsChild>
            <w:div w:id="537086819">
              <w:marLeft w:val="0"/>
              <w:marRight w:val="0"/>
              <w:marTop w:val="0"/>
              <w:marBottom w:val="0"/>
              <w:divBdr>
                <w:top w:val="none" w:sz="0" w:space="0" w:color="auto"/>
                <w:left w:val="none" w:sz="0" w:space="0" w:color="auto"/>
                <w:bottom w:val="none" w:sz="0" w:space="0" w:color="auto"/>
                <w:right w:val="none" w:sz="0" w:space="0" w:color="auto"/>
              </w:divBdr>
            </w:div>
          </w:divsChild>
        </w:div>
        <w:div w:id="816266833">
          <w:marLeft w:val="0"/>
          <w:marRight w:val="0"/>
          <w:marTop w:val="0"/>
          <w:marBottom w:val="450"/>
          <w:divBdr>
            <w:top w:val="none" w:sz="0" w:space="0" w:color="auto"/>
            <w:left w:val="none" w:sz="0" w:space="0" w:color="auto"/>
            <w:bottom w:val="none" w:sz="0" w:space="0" w:color="auto"/>
            <w:right w:val="none" w:sz="0" w:space="0" w:color="auto"/>
          </w:divBdr>
          <w:divsChild>
            <w:div w:id="1135953142">
              <w:marLeft w:val="0"/>
              <w:marRight w:val="0"/>
              <w:marTop w:val="0"/>
              <w:marBottom w:val="0"/>
              <w:divBdr>
                <w:top w:val="none" w:sz="0" w:space="0" w:color="auto"/>
                <w:left w:val="none" w:sz="0" w:space="0" w:color="auto"/>
                <w:bottom w:val="none" w:sz="0" w:space="0" w:color="auto"/>
                <w:right w:val="none" w:sz="0" w:space="0" w:color="auto"/>
              </w:divBdr>
              <w:divsChild>
                <w:div w:id="1718621441">
                  <w:marLeft w:val="0"/>
                  <w:marRight w:val="0"/>
                  <w:marTop w:val="0"/>
                  <w:marBottom w:val="0"/>
                  <w:divBdr>
                    <w:top w:val="none" w:sz="0" w:space="0" w:color="auto"/>
                    <w:left w:val="none" w:sz="0" w:space="0" w:color="auto"/>
                    <w:bottom w:val="none" w:sz="0" w:space="0" w:color="auto"/>
                    <w:right w:val="none" w:sz="0" w:space="0" w:color="auto"/>
                  </w:divBdr>
                  <w:divsChild>
                    <w:div w:id="1081676108">
                      <w:marLeft w:val="0"/>
                      <w:marRight w:val="0"/>
                      <w:marTop w:val="0"/>
                      <w:marBottom w:val="0"/>
                      <w:divBdr>
                        <w:top w:val="none" w:sz="0" w:space="0" w:color="auto"/>
                        <w:left w:val="none" w:sz="0" w:space="0" w:color="auto"/>
                        <w:bottom w:val="none" w:sz="0" w:space="0" w:color="auto"/>
                        <w:right w:val="none" w:sz="0" w:space="0" w:color="auto"/>
                      </w:divBdr>
                    </w:div>
                    <w:div w:id="1815291537">
                      <w:marLeft w:val="0"/>
                      <w:marRight w:val="0"/>
                      <w:marTop w:val="0"/>
                      <w:marBottom w:val="0"/>
                      <w:divBdr>
                        <w:top w:val="none" w:sz="0" w:space="0" w:color="auto"/>
                        <w:left w:val="none" w:sz="0" w:space="0" w:color="auto"/>
                        <w:bottom w:val="none" w:sz="0" w:space="0" w:color="auto"/>
                        <w:right w:val="none" w:sz="0" w:space="0" w:color="auto"/>
                      </w:divBdr>
                      <w:divsChild>
                        <w:div w:id="970135416">
                          <w:marLeft w:val="0"/>
                          <w:marRight w:val="0"/>
                          <w:marTop w:val="150"/>
                          <w:marBottom w:val="0"/>
                          <w:divBdr>
                            <w:top w:val="single" w:sz="6" w:space="4" w:color="EEEEEE"/>
                            <w:left w:val="single" w:sz="6" w:space="8" w:color="EEEEEE"/>
                            <w:bottom w:val="single" w:sz="6" w:space="8" w:color="EEEEEE"/>
                            <w:right w:val="single" w:sz="6" w:space="8" w:color="EEEEEE"/>
                          </w:divBdr>
                          <w:divsChild>
                            <w:div w:id="432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3944">
                      <w:marLeft w:val="0"/>
                      <w:marRight w:val="0"/>
                      <w:marTop w:val="0"/>
                      <w:marBottom w:val="0"/>
                      <w:divBdr>
                        <w:top w:val="single" w:sz="6" w:space="8" w:color="B9B9B9"/>
                        <w:left w:val="none" w:sz="0" w:space="0" w:color="auto"/>
                        <w:bottom w:val="none" w:sz="0" w:space="0" w:color="auto"/>
                        <w:right w:val="none" w:sz="0" w:space="0" w:color="auto"/>
                      </w:divBdr>
                    </w:div>
                    <w:div w:id="17150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2021-04-15T01:23:00Z</cp:lastPrinted>
  <dcterms:created xsi:type="dcterms:W3CDTF">2021-04-15T01:13:00Z</dcterms:created>
  <dcterms:modified xsi:type="dcterms:W3CDTF">2021-04-15T01:24:00Z</dcterms:modified>
</cp:coreProperties>
</file>